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6C48C" w14:textId="77777777" w:rsidR="00180591" w:rsidRPr="00857B41" w:rsidRDefault="00180591" w:rsidP="00180591">
      <w:pPr>
        <w:pStyle w:val="Title"/>
        <w:jc w:val="right"/>
        <w:rPr>
          <w:b w:val="0"/>
          <w:bCs/>
          <w:szCs w:val="48"/>
        </w:rPr>
      </w:pPr>
      <w:r>
        <w:tab/>
      </w:r>
      <w:r>
        <w:tab/>
        <w:t>Methodology Report</w:t>
      </w:r>
    </w:p>
    <w:p w14:paraId="4C8EF7EA" w14:textId="4D995DF6" w:rsidR="00180591" w:rsidRDefault="00113DE9" w:rsidP="00180591">
      <w:pPr>
        <w:pStyle w:val="Subtitle"/>
        <w:rPr>
          <w:rFonts w:ascii="Arial Narrow" w:hAnsi="Arial Narrow"/>
          <w:sz w:val="28"/>
        </w:rPr>
      </w:pPr>
      <w:r>
        <w:rPr>
          <w:rFonts w:ascii="Arial Narrow" w:hAnsi="Arial Narrow"/>
          <w:noProof/>
        </w:rPr>
        <mc:AlternateContent>
          <mc:Choice Requires="wps">
            <w:drawing>
              <wp:anchor distT="0" distB="0" distL="114300" distR="114300" simplePos="0" relativeHeight="251659776" behindDoc="0" locked="0" layoutInCell="1" allowOverlap="1" wp14:anchorId="51BF1B73" wp14:editId="101D42D3">
                <wp:simplePos x="0" y="0"/>
                <wp:positionH relativeFrom="column">
                  <wp:posOffset>165735</wp:posOffset>
                </wp:positionH>
                <wp:positionV relativeFrom="paragraph">
                  <wp:posOffset>150495</wp:posOffset>
                </wp:positionV>
                <wp:extent cx="5486400" cy="0"/>
                <wp:effectExtent l="38735" t="36195" r="50165" b="527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8A9CDE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1.85pt" to="445.0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BPdRICAAAp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" strokeweight="4.5pt"/>
            </w:pict>
          </mc:Fallback>
        </mc:AlternateContent>
      </w:r>
    </w:p>
    <w:p w14:paraId="23C9A9AC" w14:textId="46C35F53" w:rsidR="00180591" w:rsidRPr="00E06717" w:rsidRDefault="00180591" w:rsidP="00180591">
      <w:pPr>
        <w:pStyle w:val="Subtitle"/>
        <w:jc w:val="right"/>
        <w:rPr>
          <w:rFonts w:ascii="Franklin Gothic Demi" w:hAnsi="Franklin Gothic Demi"/>
          <w:color w:val="0033CC"/>
          <w:sz w:val="72"/>
          <w:szCs w:val="72"/>
        </w:rPr>
      </w:pPr>
      <w:r>
        <w:rPr>
          <w:rFonts w:ascii="Franklin Gothic Demi" w:hAnsi="Franklin Gothic Demi"/>
          <w:color w:val="993366"/>
          <w:sz w:val="72"/>
          <w:szCs w:val="72"/>
        </w:rPr>
        <w:t xml:space="preserve"> </w:t>
      </w:r>
      <w:r w:rsidRPr="00E06717">
        <w:rPr>
          <w:rFonts w:ascii="Franklin Gothic Demi" w:hAnsi="Franklin Gothic Demi"/>
          <w:color w:val="0033CC"/>
          <w:sz w:val="72"/>
          <w:szCs w:val="72"/>
        </w:rPr>
        <w:t xml:space="preserve"> </w:t>
      </w:r>
      <w:r w:rsidR="009F39A1">
        <w:rPr>
          <w:rFonts w:ascii="Franklin Gothic Demi" w:hAnsi="Franklin Gothic Demi"/>
          <w:color w:val="0033CC"/>
          <w:sz w:val="72"/>
          <w:szCs w:val="72"/>
        </w:rPr>
        <w:t xml:space="preserve">Wastewater </w:t>
      </w:r>
      <w:r w:rsidRPr="00E06717">
        <w:rPr>
          <w:rFonts w:ascii="Franklin Gothic Demi" w:hAnsi="Franklin Gothic Demi"/>
          <w:color w:val="0033CC"/>
          <w:sz w:val="72"/>
          <w:szCs w:val="72"/>
        </w:rPr>
        <w:t xml:space="preserve">System Development Charges </w:t>
      </w:r>
    </w:p>
    <w:p w14:paraId="0A7EE0E9" w14:textId="77777777" w:rsidR="00180591" w:rsidRDefault="00180591" w:rsidP="00180591"/>
    <w:p w14:paraId="408711AD" w14:textId="77777777" w:rsidR="00180591" w:rsidRDefault="00180591" w:rsidP="00180591"/>
    <w:p w14:paraId="18BDFB2F" w14:textId="77777777" w:rsidR="00180591" w:rsidRDefault="00180591" w:rsidP="00180591">
      <w:pPr>
        <w:jc w:val="right"/>
        <w:rPr>
          <w:rFonts w:ascii="Arial Narrow" w:hAnsi="Arial Narrow"/>
        </w:rPr>
      </w:pPr>
      <w:r w:rsidRPr="00016F15">
        <w:rPr>
          <w:rFonts w:ascii="Arial Narrow" w:hAnsi="Arial Narrow"/>
        </w:rPr>
        <w:t>Prepared For</w:t>
      </w:r>
    </w:p>
    <w:p w14:paraId="4B59EBAD" w14:textId="62B74539" w:rsidR="00180591" w:rsidRPr="00016F15" w:rsidRDefault="00180591" w:rsidP="00180591">
      <w:pPr>
        <w:pStyle w:val="Subtitle"/>
        <w:jc w:val="right"/>
        <w:rPr>
          <w:rFonts w:ascii="Arial Narrow" w:hAnsi="Arial Narrow"/>
        </w:rPr>
      </w:pPr>
      <w:r>
        <w:rPr>
          <w:rFonts w:ascii="Arial Narrow" w:hAnsi="Arial Narrow"/>
        </w:rPr>
        <w:t>C</w:t>
      </w:r>
      <w:r w:rsidRPr="00016F15">
        <w:rPr>
          <w:rFonts w:ascii="Arial Narrow" w:hAnsi="Arial Narrow"/>
        </w:rPr>
        <w:t xml:space="preserve">ity of </w:t>
      </w:r>
      <w:r w:rsidR="00B566DB">
        <w:rPr>
          <w:rFonts w:ascii="Arial Narrow" w:hAnsi="Arial Narrow"/>
        </w:rPr>
        <w:t>Carlton</w:t>
      </w:r>
    </w:p>
    <w:p w14:paraId="53B32F20" w14:textId="77777777" w:rsidR="00180591" w:rsidRPr="00016F15" w:rsidRDefault="00180591" w:rsidP="00180591">
      <w:pPr>
        <w:jc w:val="right"/>
        <w:rPr>
          <w:rFonts w:ascii="Arial Narrow" w:hAnsi="Arial Narrow"/>
        </w:rPr>
      </w:pPr>
    </w:p>
    <w:p w14:paraId="1C23D251" w14:textId="77777777" w:rsidR="00180591" w:rsidRDefault="00180591" w:rsidP="00180591">
      <w:pPr>
        <w:pStyle w:val="Subtitle"/>
        <w:jc w:val="right"/>
        <w:rPr>
          <w:rFonts w:ascii="Arial Narrow" w:hAnsi="Arial Narrow"/>
        </w:rPr>
      </w:pPr>
    </w:p>
    <w:p w14:paraId="25483249" w14:textId="68480987" w:rsidR="00180591" w:rsidRPr="000C7910" w:rsidRDefault="00DA7134" w:rsidP="00180591">
      <w:pPr>
        <w:pStyle w:val="Subtitle"/>
        <w:jc w:val="right"/>
        <w:rPr>
          <w:rFonts w:ascii="Arial Narrow" w:hAnsi="Arial Narrow"/>
          <w:sz w:val="28"/>
          <w:szCs w:val="28"/>
        </w:rPr>
      </w:pPr>
      <w:r>
        <w:rPr>
          <w:rFonts w:ascii="Arial Narrow" w:hAnsi="Arial Narrow"/>
          <w:sz w:val="28"/>
          <w:szCs w:val="28"/>
        </w:rPr>
        <w:t>March 25</w:t>
      </w:r>
      <w:r w:rsidR="00B566DB">
        <w:rPr>
          <w:rFonts w:ascii="Arial Narrow" w:hAnsi="Arial Narrow"/>
          <w:sz w:val="28"/>
          <w:szCs w:val="28"/>
        </w:rPr>
        <w:t>, 20</w:t>
      </w:r>
      <w:r>
        <w:rPr>
          <w:rFonts w:ascii="Arial Narrow" w:hAnsi="Arial Narrow"/>
          <w:sz w:val="28"/>
          <w:szCs w:val="28"/>
        </w:rPr>
        <w:t>20</w:t>
      </w:r>
    </w:p>
    <w:p w14:paraId="5DBDF196" w14:textId="77777777" w:rsidR="00180591" w:rsidRDefault="00180591" w:rsidP="00180591">
      <w:pPr>
        <w:pStyle w:val="Subtitle"/>
        <w:jc w:val="right"/>
        <w:rPr>
          <w:rFonts w:ascii="Arial Narrow" w:hAnsi="Arial Narrow"/>
        </w:rPr>
      </w:pPr>
    </w:p>
    <w:p w14:paraId="5AE9E3E1" w14:textId="77777777" w:rsidR="00180591" w:rsidRDefault="00180591" w:rsidP="00180591">
      <w:pPr>
        <w:pStyle w:val="Subtitle"/>
        <w:jc w:val="right"/>
        <w:rPr>
          <w:rFonts w:ascii="Arial Narrow" w:hAnsi="Arial Narrow"/>
        </w:rPr>
      </w:pPr>
    </w:p>
    <w:p w14:paraId="59D80727" w14:textId="77777777" w:rsidR="00180591" w:rsidRDefault="00180591" w:rsidP="00180591">
      <w:pPr>
        <w:pStyle w:val="Subtitle"/>
        <w:jc w:val="right"/>
        <w:rPr>
          <w:rFonts w:ascii="Arial Narrow" w:hAnsi="Arial Narrow"/>
        </w:rPr>
      </w:pPr>
    </w:p>
    <w:p w14:paraId="4F9749E5" w14:textId="77777777" w:rsidR="00180591" w:rsidRDefault="00180591" w:rsidP="00180591">
      <w:pPr>
        <w:pStyle w:val="Subtitle"/>
        <w:jc w:val="right"/>
        <w:rPr>
          <w:rFonts w:ascii="Arial Narrow" w:hAnsi="Arial Narrow"/>
        </w:rPr>
      </w:pPr>
    </w:p>
    <w:p w14:paraId="79FAB127" w14:textId="77777777" w:rsidR="00180591" w:rsidRDefault="00180591" w:rsidP="00180591">
      <w:pPr>
        <w:pStyle w:val="Subtitle"/>
        <w:jc w:val="right"/>
        <w:rPr>
          <w:rFonts w:ascii="Arial Narrow" w:hAnsi="Arial Narrow"/>
        </w:rPr>
      </w:pPr>
    </w:p>
    <w:p w14:paraId="23B6DF98" w14:textId="6A7CDBA6" w:rsidR="00180591" w:rsidRDefault="00180591" w:rsidP="008E78A0">
      <w:pPr>
        <w:pStyle w:val="Subtitle"/>
        <w:jc w:val="left"/>
        <w:rPr>
          <w:rFonts w:ascii="Arial Narrow" w:hAnsi="Arial Narrow"/>
        </w:rPr>
      </w:pPr>
    </w:p>
    <w:p w14:paraId="39AC7EAB" w14:textId="77777777" w:rsidR="00180591" w:rsidRDefault="00180591" w:rsidP="00180591"/>
    <w:p w14:paraId="298445A8" w14:textId="77777777" w:rsidR="00180591" w:rsidRPr="00696048" w:rsidRDefault="00180591" w:rsidP="00180591"/>
    <w:p w14:paraId="52710836" w14:textId="77777777" w:rsidR="00A85A5F" w:rsidRDefault="00A85A5F" w:rsidP="00180591">
      <w:pPr>
        <w:pStyle w:val="Heading2"/>
        <w:numPr>
          <w:ilvl w:val="0"/>
          <w:numId w:val="0"/>
        </w:numPr>
        <w:jc w:val="right"/>
      </w:pPr>
    </w:p>
    <w:p w14:paraId="5554D2B6" w14:textId="77777777" w:rsidR="00180591" w:rsidRDefault="00180591" w:rsidP="00180591">
      <w:pPr>
        <w:pStyle w:val="Heading2"/>
        <w:numPr>
          <w:ilvl w:val="0"/>
          <w:numId w:val="0"/>
        </w:numPr>
        <w:jc w:val="right"/>
        <w:sectPr w:rsidR="00180591" w:rsidSect="006F4C46">
          <w:footerReference w:type="even" r:id="rId9"/>
          <w:footerReference w:type="default" r:id="rId10"/>
          <w:headerReference w:type="first" r:id="rId11"/>
          <w:footerReference w:type="first" r:id="rId12"/>
          <w:pgSz w:w="12240" w:h="15840" w:code="1"/>
          <w:pgMar w:top="1440" w:right="1440" w:bottom="1440" w:left="1800" w:header="720" w:footer="720" w:gutter="0"/>
          <w:paperSrc w:first="15" w:other="15"/>
          <w:cols w:space="720"/>
          <w:titlePg/>
        </w:sectPr>
      </w:pPr>
      <w:r w:rsidRPr="00E06717">
        <w:rPr>
          <w:caps/>
          <w:noProof/>
        </w:rPr>
        <w:drawing>
          <wp:inline distT="0" distB="0" distL="0" distR="0" wp14:anchorId="67649131" wp14:editId="1822EAC8">
            <wp:extent cx="790575" cy="1419225"/>
            <wp:effectExtent l="0" t="0" r="0" b="0"/>
            <wp:docPr id="2" name="Picture 2" descr="GRG_Logo_FINAL_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G_Logo_FINAL_1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1419225"/>
                    </a:xfrm>
                    <a:prstGeom prst="rect">
                      <a:avLst/>
                    </a:prstGeom>
                    <a:noFill/>
                    <a:ln>
                      <a:noFill/>
                    </a:ln>
                  </pic:spPr>
                </pic:pic>
              </a:graphicData>
            </a:graphic>
          </wp:inline>
        </w:drawing>
      </w:r>
    </w:p>
    <w:p w14:paraId="32247AD1" w14:textId="77777777" w:rsidR="00180591" w:rsidRDefault="00180591" w:rsidP="00180591">
      <w:pPr>
        <w:pStyle w:val="Exhibit--Number"/>
      </w:pPr>
      <w:r>
        <w:lastRenderedPageBreak/>
        <w:t>Section 1</w:t>
      </w:r>
    </w:p>
    <w:p w14:paraId="3C887094" w14:textId="77777777" w:rsidR="00180591" w:rsidRPr="00997197" w:rsidRDefault="00180591" w:rsidP="00180591">
      <w:pPr>
        <w:pStyle w:val="Heading1"/>
      </w:pPr>
      <w:r>
        <w:t>Introduction</w:t>
      </w:r>
    </w:p>
    <w:p w14:paraId="5953B0A3" w14:textId="76EE1B8C" w:rsidR="004F76A3" w:rsidRDefault="00D632B6">
      <w:pPr>
        <w:pStyle w:val="BodyText"/>
        <w:jc w:val="both"/>
        <w:rPr>
          <w:szCs w:val="22"/>
        </w:rPr>
      </w:pPr>
      <w:r w:rsidRPr="008F7A03">
        <w:rPr>
          <w:szCs w:val="22"/>
        </w:rPr>
        <w:t xml:space="preserve">Oregon legislation establishes guidelines for the calculation of </w:t>
      </w:r>
      <w:r>
        <w:rPr>
          <w:szCs w:val="22"/>
        </w:rPr>
        <w:t>system development charges (</w:t>
      </w:r>
      <w:r w:rsidRPr="008F7A03">
        <w:rPr>
          <w:szCs w:val="22"/>
        </w:rPr>
        <w:t>SDCs</w:t>
      </w:r>
      <w:r>
        <w:rPr>
          <w:szCs w:val="22"/>
        </w:rPr>
        <w:t>)</w:t>
      </w:r>
      <w:r w:rsidRPr="008F7A03">
        <w:rPr>
          <w:szCs w:val="22"/>
        </w:rPr>
        <w:t>. Within these guidelines, local governments have latitude in selecting technical approaches and establishing policies related to the developm</w:t>
      </w:r>
      <w:r>
        <w:rPr>
          <w:szCs w:val="22"/>
        </w:rPr>
        <w:t xml:space="preserve">ent and administration of SDCs. </w:t>
      </w:r>
      <w:r w:rsidRPr="008F7A03">
        <w:rPr>
          <w:szCs w:val="22"/>
        </w:rPr>
        <w:t xml:space="preserve">A discussion of this legislation follows, along with the </w:t>
      </w:r>
      <w:r w:rsidR="008660BA">
        <w:rPr>
          <w:szCs w:val="22"/>
        </w:rPr>
        <w:t>m</w:t>
      </w:r>
      <w:r w:rsidRPr="008F7A03">
        <w:rPr>
          <w:szCs w:val="22"/>
        </w:rPr>
        <w:t xml:space="preserve">ethodology for calculating updated </w:t>
      </w:r>
      <w:r w:rsidR="00C15680">
        <w:rPr>
          <w:szCs w:val="22"/>
        </w:rPr>
        <w:t>sanitary sewer</w:t>
      </w:r>
      <w:r>
        <w:rPr>
          <w:szCs w:val="22"/>
        </w:rPr>
        <w:t xml:space="preserve"> </w:t>
      </w:r>
      <w:r w:rsidRPr="008F7A03">
        <w:rPr>
          <w:szCs w:val="22"/>
        </w:rPr>
        <w:t xml:space="preserve">SDCs for </w:t>
      </w:r>
      <w:r>
        <w:rPr>
          <w:szCs w:val="22"/>
        </w:rPr>
        <w:t xml:space="preserve">the </w:t>
      </w:r>
      <w:r w:rsidR="002B7ED6">
        <w:rPr>
          <w:szCs w:val="22"/>
        </w:rPr>
        <w:t>City of Carlton</w:t>
      </w:r>
      <w:r>
        <w:rPr>
          <w:szCs w:val="22"/>
        </w:rPr>
        <w:t xml:space="preserve"> (the </w:t>
      </w:r>
      <w:r w:rsidR="00DA6835">
        <w:rPr>
          <w:szCs w:val="22"/>
        </w:rPr>
        <w:t>City</w:t>
      </w:r>
      <w:r>
        <w:rPr>
          <w:szCs w:val="22"/>
        </w:rPr>
        <w:t>)</w:t>
      </w:r>
      <w:r w:rsidR="008660BA">
        <w:rPr>
          <w:szCs w:val="22"/>
        </w:rPr>
        <w:t xml:space="preserve"> based on the </w:t>
      </w:r>
      <w:r w:rsidR="00DA7134">
        <w:rPr>
          <w:szCs w:val="22"/>
        </w:rPr>
        <w:t xml:space="preserve">most </w:t>
      </w:r>
      <w:r w:rsidR="008660BA">
        <w:rPr>
          <w:szCs w:val="22"/>
        </w:rPr>
        <w:t xml:space="preserve">recent </w:t>
      </w:r>
      <w:r w:rsidR="00F35612">
        <w:rPr>
          <w:szCs w:val="22"/>
        </w:rPr>
        <w:t>Wastewater Facilities</w:t>
      </w:r>
      <w:r w:rsidR="008660BA">
        <w:rPr>
          <w:szCs w:val="22"/>
        </w:rPr>
        <w:t xml:space="preserve"> Plan</w:t>
      </w:r>
      <w:r w:rsidR="00CE6F0B">
        <w:rPr>
          <w:szCs w:val="22"/>
        </w:rPr>
        <w:t xml:space="preserve"> </w:t>
      </w:r>
      <w:r w:rsidR="00DC3571" w:rsidRPr="00820DA8">
        <w:rPr>
          <w:szCs w:val="22"/>
        </w:rPr>
        <w:t>(</w:t>
      </w:r>
      <w:r w:rsidR="00820DA8">
        <w:rPr>
          <w:szCs w:val="22"/>
        </w:rPr>
        <w:t>Tetra Tech May</w:t>
      </w:r>
      <w:r w:rsidR="00F35612" w:rsidRPr="00820DA8">
        <w:rPr>
          <w:szCs w:val="22"/>
        </w:rPr>
        <w:t xml:space="preserve"> 2018).</w:t>
      </w:r>
    </w:p>
    <w:p w14:paraId="7AAC3301" w14:textId="77777777" w:rsidR="004F76A3" w:rsidRDefault="00D632B6">
      <w:pPr>
        <w:pStyle w:val="Heading2"/>
        <w:numPr>
          <w:ilvl w:val="0"/>
          <w:numId w:val="0"/>
        </w:numPr>
        <w:jc w:val="both"/>
      </w:pPr>
      <w:bookmarkStart w:id="0" w:name="_Toc115531462"/>
      <w:r w:rsidRPr="00997197">
        <w:t>SDC Legislation in Oregon</w:t>
      </w:r>
      <w:bookmarkEnd w:id="0"/>
    </w:p>
    <w:p w14:paraId="3B2DACBE" w14:textId="77777777" w:rsidR="004F76A3" w:rsidRDefault="00D632B6">
      <w:pPr>
        <w:pStyle w:val="BodyText"/>
        <w:jc w:val="both"/>
        <w:rPr>
          <w:sz w:val="21"/>
        </w:rPr>
      </w:pPr>
      <w:r w:rsidRPr="00997197">
        <w:t>In the 1989 Oregon state legislative session, a bill was passed that created a uniform framework for the imposition of SDCs statewide. This legislation (Oregon Revised Statute [ORS] 223.297</w:t>
      </w:r>
      <w:r w:rsidRPr="00997197">
        <w:noBreakHyphen/>
        <w:t>223.314), which became effective on July 1, 1991, (with subsequent amendments), authorizes local governments to assess SDCs for the following types of capital improvements</w:t>
      </w:r>
      <w:r w:rsidRPr="00997197">
        <w:rPr>
          <w:sz w:val="21"/>
        </w:rPr>
        <w:t>:</w:t>
      </w:r>
    </w:p>
    <w:p w14:paraId="6248C6C5" w14:textId="77777777" w:rsidR="004F76A3" w:rsidRDefault="00D632B6">
      <w:pPr>
        <w:pStyle w:val="Bullet"/>
        <w:numPr>
          <w:ilvl w:val="0"/>
          <w:numId w:val="2"/>
        </w:numPr>
        <w:spacing w:after="0"/>
        <w:jc w:val="both"/>
        <w:rPr>
          <w:szCs w:val="22"/>
        </w:rPr>
      </w:pPr>
      <w:r w:rsidRPr="00997197">
        <w:rPr>
          <w:szCs w:val="22"/>
        </w:rPr>
        <w:t>Drainage and flood control</w:t>
      </w:r>
    </w:p>
    <w:p w14:paraId="1CFE53ED" w14:textId="77777777" w:rsidR="004F76A3" w:rsidRDefault="00D632B6">
      <w:pPr>
        <w:pStyle w:val="Bullet"/>
        <w:numPr>
          <w:ilvl w:val="0"/>
          <w:numId w:val="2"/>
        </w:numPr>
        <w:spacing w:after="0"/>
        <w:jc w:val="both"/>
        <w:rPr>
          <w:szCs w:val="22"/>
        </w:rPr>
      </w:pPr>
      <w:r w:rsidRPr="00997197">
        <w:rPr>
          <w:szCs w:val="22"/>
        </w:rPr>
        <w:t>Water supply, treatment, and distribution</w:t>
      </w:r>
    </w:p>
    <w:p w14:paraId="63E67533" w14:textId="77777777" w:rsidR="004F76A3" w:rsidRDefault="00D632B6">
      <w:pPr>
        <w:pStyle w:val="Bullet"/>
        <w:numPr>
          <w:ilvl w:val="0"/>
          <w:numId w:val="2"/>
        </w:numPr>
        <w:spacing w:after="0"/>
        <w:jc w:val="both"/>
        <w:rPr>
          <w:szCs w:val="22"/>
        </w:rPr>
      </w:pPr>
      <w:r w:rsidRPr="00997197">
        <w:rPr>
          <w:szCs w:val="22"/>
        </w:rPr>
        <w:t>Wastewater collection, transmission, treatment, and disposal</w:t>
      </w:r>
    </w:p>
    <w:p w14:paraId="1B2B1805" w14:textId="77777777" w:rsidR="004F76A3" w:rsidRDefault="00D632B6">
      <w:pPr>
        <w:pStyle w:val="Bullet"/>
        <w:numPr>
          <w:ilvl w:val="0"/>
          <w:numId w:val="2"/>
        </w:numPr>
        <w:spacing w:after="0"/>
        <w:jc w:val="both"/>
        <w:rPr>
          <w:szCs w:val="22"/>
        </w:rPr>
      </w:pPr>
      <w:r w:rsidRPr="00997197">
        <w:rPr>
          <w:szCs w:val="22"/>
        </w:rPr>
        <w:t>Transportation</w:t>
      </w:r>
    </w:p>
    <w:p w14:paraId="5F454045" w14:textId="77777777" w:rsidR="004F76A3" w:rsidRDefault="00D632B6">
      <w:pPr>
        <w:pStyle w:val="Bullet"/>
        <w:numPr>
          <w:ilvl w:val="0"/>
          <w:numId w:val="3"/>
        </w:numPr>
        <w:jc w:val="both"/>
        <w:rPr>
          <w:szCs w:val="22"/>
        </w:rPr>
      </w:pPr>
      <w:r w:rsidRPr="00997197">
        <w:rPr>
          <w:szCs w:val="22"/>
        </w:rPr>
        <w:t>Parks and recreation</w:t>
      </w:r>
    </w:p>
    <w:p w14:paraId="7EBF89B4" w14:textId="77777777" w:rsidR="004F76A3" w:rsidRDefault="00D632B6">
      <w:pPr>
        <w:pStyle w:val="BodyText"/>
        <w:jc w:val="both"/>
      </w:pPr>
      <w:r w:rsidRPr="00997197">
        <w:t>The legislation provides guidelines on the calculation and modification of SDCs, accounting requirements to track SDC revenues, and the adoption of administrative review procedures.</w:t>
      </w:r>
    </w:p>
    <w:p w14:paraId="1512BB26" w14:textId="77777777" w:rsidR="004F76A3" w:rsidRDefault="00D632B6">
      <w:pPr>
        <w:pStyle w:val="Heading3"/>
        <w:jc w:val="both"/>
      </w:pPr>
      <w:bookmarkStart w:id="1" w:name="_Toc78879416"/>
      <w:r w:rsidRPr="00997197">
        <w:t>SDC Structure</w:t>
      </w:r>
      <w:bookmarkEnd w:id="1"/>
    </w:p>
    <w:p w14:paraId="0AA264EB" w14:textId="77777777" w:rsidR="004F76A3" w:rsidRDefault="00D632B6">
      <w:pPr>
        <w:pStyle w:val="BodyText"/>
        <w:jc w:val="both"/>
      </w:pPr>
      <w:r w:rsidRPr="00997197">
        <w:t xml:space="preserve">SDCs can be developed around two concepts: (1) a reimbursement fee, and (2) an improvement fee, or a combination of the two. The </w:t>
      </w:r>
      <w:r w:rsidRPr="00997197">
        <w:rPr>
          <w:b/>
        </w:rPr>
        <w:t>reimbursement fee</w:t>
      </w:r>
      <w:r w:rsidRPr="00997197">
        <w:t xml:space="preserve"> is based on the costs of capital improvements </w:t>
      </w:r>
      <w:r w:rsidRPr="00997197">
        <w:rPr>
          <w:i/>
        </w:rPr>
        <w:t>already constructed or under construction</w:t>
      </w:r>
      <w:r w:rsidRPr="00997197">
        <w:t xml:space="preserve">. The legislation requires the reimbursement fee to be established or modified by an ordinance or resolution setting forth the methodology used to calculate the charge. This methodology must consider the cost of existing facilities, prior contributions by existing users, gifts or grants from federal or state government or private persons, the value of unused capacity available for future system users, rate-making principles employed to finance the capital improvements, and other relevant factors. The objective of the methodology must be that future system users contribute no more than an equitable share of the capital costs of </w:t>
      </w:r>
      <w:r w:rsidRPr="00997197">
        <w:rPr>
          <w:i/>
        </w:rPr>
        <w:t>existing</w:t>
      </w:r>
      <w:r w:rsidRPr="00997197">
        <w:t xml:space="preserve"> facilities. Reimbursement fee revenues are restricted only to capital expenditures for the specific system </w:t>
      </w:r>
      <w:r>
        <w:t xml:space="preserve">with </w:t>
      </w:r>
      <w:r w:rsidRPr="00997197">
        <w:t>which they are assessed, including debt service.</w:t>
      </w:r>
    </w:p>
    <w:p w14:paraId="1306431F" w14:textId="77777777" w:rsidR="004F76A3" w:rsidRDefault="00D632B6">
      <w:pPr>
        <w:pStyle w:val="BodyText"/>
        <w:jc w:val="both"/>
      </w:pPr>
      <w:r w:rsidRPr="00997197">
        <w:t xml:space="preserve">The methodology for establishing or modifying an </w:t>
      </w:r>
      <w:r w:rsidRPr="00997197">
        <w:rPr>
          <w:b/>
        </w:rPr>
        <w:t>improvement fee</w:t>
      </w:r>
      <w:r w:rsidRPr="00997197">
        <w:t xml:space="preserve"> must be specified in an ordinance or resolution that demonstrate</w:t>
      </w:r>
      <w:r>
        <w:t>s</w:t>
      </w:r>
      <w:r w:rsidRPr="00997197">
        <w:t xml:space="preserve"> consideration of the </w:t>
      </w:r>
      <w:r w:rsidRPr="00997197">
        <w:rPr>
          <w:i/>
        </w:rPr>
        <w:t>projected costs of capital improvements identified in an adopted plan and list</w:t>
      </w:r>
      <w:r w:rsidRPr="00997197">
        <w:t>, that are needed to increase capacity in the system to meet the demands of new development. Revenues generated through improve</w:t>
      </w:r>
      <w:r w:rsidRPr="00997197">
        <w:softHyphen/>
        <w:t xml:space="preserve">ment fees are dedicated to capacity-increasing capital improvements or the repayment of debt on </w:t>
      </w:r>
      <w:r w:rsidRPr="00997197">
        <w:lastRenderedPageBreak/>
        <w:t>such improvements. An increase in capacity is established if an improvement increases the level of service provided by existing facilities or provides new facilities.</w:t>
      </w:r>
    </w:p>
    <w:p w14:paraId="7249B521" w14:textId="77777777" w:rsidR="004F76A3" w:rsidRDefault="00D632B6">
      <w:pPr>
        <w:pStyle w:val="BodyText"/>
        <w:jc w:val="both"/>
      </w:pPr>
      <w:r w:rsidRPr="00997197">
        <w:t xml:space="preserve">In many systems, growth needs will be met through a combination of existing available capacity and future capacity-enhancing </w:t>
      </w:r>
      <w:r>
        <w:t>improvements. Therefore, the law</w:t>
      </w:r>
      <w:r w:rsidRPr="00997197">
        <w:t xml:space="preserve"> provides for a </w:t>
      </w:r>
      <w:r w:rsidRPr="00997197">
        <w:rPr>
          <w:b/>
        </w:rPr>
        <w:t>combined fee</w:t>
      </w:r>
      <w:r w:rsidRPr="00997197">
        <w:t xml:space="preserve"> (reimbursement plus improvement component). However, when such a fee is developed, the methodology must demonstrate that the charge is not based on providing the same system capacity.</w:t>
      </w:r>
    </w:p>
    <w:p w14:paraId="0C009732" w14:textId="77777777" w:rsidR="00820DA8" w:rsidRDefault="00820DA8" w:rsidP="00820DA8">
      <w:pPr>
        <w:pStyle w:val="Heading3"/>
        <w:jc w:val="both"/>
      </w:pPr>
      <w:bookmarkStart w:id="2" w:name="_Toc78879417"/>
      <w:r>
        <w:t>Project List</w:t>
      </w:r>
    </w:p>
    <w:p w14:paraId="0D0D7A15" w14:textId="1A02BC79" w:rsidR="00820DA8" w:rsidRDefault="00820DA8" w:rsidP="00820DA8">
      <w:r>
        <w:t>Local governments are required to prepare a capital improvement program or comparable plan, prior to establishment of an SDC, which includes a list of the improvements that the jurisdiction intends to fund with improvement fee revenues and the estimated timing, cost, and eligible portion of each improvement. The project list may be updated at any time. If an SDC is to be increased by a proposed modification to the list then required action includes: (1) written notice provided to interested parties at least 30 days prior to adoption of the proposed modification and (2) hold a public hearing on the proposed modification if a request is received in writing up to seven days before the date of the planned adoption.</w:t>
      </w:r>
    </w:p>
    <w:p w14:paraId="10B6AE06" w14:textId="591131FF" w:rsidR="004F76A3" w:rsidRDefault="00D632B6" w:rsidP="00820DA8">
      <w:pPr>
        <w:pStyle w:val="Heading3"/>
        <w:jc w:val="both"/>
      </w:pPr>
      <w:r w:rsidRPr="00997197">
        <w:t>Credits</w:t>
      </w:r>
      <w:bookmarkEnd w:id="2"/>
    </w:p>
    <w:p w14:paraId="4B3ED98C" w14:textId="78229BD5" w:rsidR="004F76A3" w:rsidRDefault="00820DA8">
      <w:pPr>
        <w:pStyle w:val="BodyText"/>
        <w:jc w:val="both"/>
      </w:pPr>
      <w:r>
        <w:t>A</w:t>
      </w:r>
      <w:r w:rsidR="00D632B6" w:rsidRPr="00997197">
        <w:t xml:space="preserve"> credit</w:t>
      </w:r>
      <w:r>
        <w:t xml:space="preserve"> must</w:t>
      </w:r>
      <w:r w:rsidR="00D632B6" w:rsidRPr="00997197">
        <w:t xml:space="preserve"> be provided against the improvement fee for the construction of “qualified public improvements.” Qualified public improvements are improvements that are required as a condition of development approval, identified in the system’s capital improvement program, and either (1) not located on or contiguous to the property being developed, or (2) located in whole or in part, on or contiguous to, property that is the subject of development approval and required to be built larger or with greater capacity than is necessary for the particular development project to which the improvement fee is related.</w:t>
      </w:r>
    </w:p>
    <w:p w14:paraId="452CA0A2" w14:textId="62C14345" w:rsidR="004F76A3" w:rsidRDefault="00820DA8">
      <w:pPr>
        <w:pStyle w:val="Heading3"/>
        <w:jc w:val="both"/>
      </w:pPr>
      <w:bookmarkStart w:id="3" w:name="_Toc78879418"/>
      <w:r>
        <w:t xml:space="preserve">Methodology </w:t>
      </w:r>
      <w:r w:rsidR="00D632B6" w:rsidRPr="00997197">
        <w:t>Update and Review</w:t>
      </w:r>
      <w:bookmarkEnd w:id="3"/>
    </w:p>
    <w:p w14:paraId="7F0775D9" w14:textId="77777777" w:rsidR="00820DA8" w:rsidRDefault="00820DA8" w:rsidP="00820DA8">
      <w:pPr>
        <w:pStyle w:val="BodyText"/>
        <w:rPr>
          <w:rFonts w:cs="Arial"/>
        </w:rPr>
      </w:pPr>
      <w:r w:rsidRPr="00B25118">
        <w:rPr>
          <w:rFonts w:cs="Arial"/>
        </w:rPr>
        <w:t xml:space="preserve">The methodology for establishing or modifying improvement or reimbursement fees </w:t>
      </w:r>
      <w:r>
        <w:rPr>
          <w:rFonts w:cs="Arial"/>
        </w:rPr>
        <w:t xml:space="preserve">must </w:t>
      </w:r>
      <w:r w:rsidRPr="00B25118">
        <w:rPr>
          <w:rFonts w:cs="Arial"/>
        </w:rPr>
        <w:t xml:space="preserve">be available for public </w:t>
      </w:r>
      <w:r>
        <w:rPr>
          <w:rFonts w:cs="Arial"/>
        </w:rPr>
        <w:t>review prior to adoption</w:t>
      </w:r>
      <w:r w:rsidRPr="00B25118">
        <w:rPr>
          <w:rFonts w:cs="Arial"/>
        </w:rPr>
        <w:t>. The local government must maintain a list of persons who have made a written request for notification prior to the adoption or amendment of such fees</w:t>
      </w:r>
      <w:r>
        <w:rPr>
          <w:rFonts w:cs="Arial"/>
        </w:rPr>
        <w:t xml:space="preserve"> that are resultant of a methodology amendment</w:t>
      </w:r>
      <w:r w:rsidRPr="00B25118">
        <w:rPr>
          <w:rFonts w:cs="Arial"/>
        </w:rPr>
        <w:t xml:space="preserve">. The requirements for </w:t>
      </w:r>
      <w:r>
        <w:rPr>
          <w:rFonts w:cs="Arial"/>
        </w:rPr>
        <w:t xml:space="preserve">any </w:t>
      </w:r>
      <w:r w:rsidRPr="00B25118">
        <w:rPr>
          <w:rFonts w:cs="Arial"/>
        </w:rPr>
        <w:t>changes to the fees that represent a modification to the methodology are</w:t>
      </w:r>
      <w:r>
        <w:rPr>
          <w:rFonts w:cs="Arial"/>
        </w:rPr>
        <w:t>: (1)</w:t>
      </w:r>
      <w:r w:rsidRPr="00B25118">
        <w:rPr>
          <w:rFonts w:cs="Arial"/>
        </w:rPr>
        <w:t xml:space="preserve"> 90-day written notice prior to first public hearing, </w:t>
      </w:r>
      <w:r>
        <w:rPr>
          <w:rFonts w:cs="Arial"/>
        </w:rPr>
        <w:t xml:space="preserve">and (2) </w:t>
      </w:r>
      <w:r w:rsidRPr="00B25118">
        <w:rPr>
          <w:rFonts w:cs="Arial"/>
        </w:rPr>
        <w:t xml:space="preserve">SDC methodology </w:t>
      </w:r>
      <w:r>
        <w:rPr>
          <w:rFonts w:cs="Arial"/>
        </w:rPr>
        <w:t xml:space="preserve">made </w:t>
      </w:r>
      <w:r w:rsidRPr="00B25118">
        <w:rPr>
          <w:rFonts w:cs="Arial"/>
        </w:rPr>
        <w:t xml:space="preserve">available for review 60 days prior to </w:t>
      </w:r>
      <w:r>
        <w:rPr>
          <w:rFonts w:cs="Arial"/>
        </w:rPr>
        <w:t xml:space="preserve">the </w:t>
      </w:r>
      <w:r w:rsidRPr="00B25118">
        <w:rPr>
          <w:rFonts w:cs="Arial"/>
        </w:rPr>
        <w:t>public hearing.</w:t>
      </w:r>
    </w:p>
    <w:p w14:paraId="5C4113E5" w14:textId="77777777" w:rsidR="00820DA8" w:rsidRPr="00997197" w:rsidRDefault="00820DA8" w:rsidP="00820DA8">
      <w:pPr>
        <w:pStyle w:val="Bullet"/>
      </w:pPr>
      <w:r>
        <w:rPr>
          <w:rFonts w:cs="Arial"/>
        </w:rPr>
        <w:t xml:space="preserve">Application of one or more cost indices periodically is allowable and is not considered a change in the methodology, and is therefore not subject to the above review and notification procedures, provided that the index is published by a recognized agency, independent from the methodology, and incorporated into the methodology or adopted separately by ordinance or resolution. </w:t>
      </w:r>
      <w:r>
        <w:t xml:space="preserve">Furthermore, “a </w:t>
      </w:r>
      <w:r w:rsidRPr="00997197">
        <w:t>change</w:t>
      </w:r>
      <w:r>
        <w:t xml:space="preserve"> in the</w:t>
      </w:r>
      <w:r w:rsidRPr="00997197">
        <w:t xml:space="preserve"> costs </w:t>
      </w:r>
      <w:r>
        <w:t>of</w:t>
      </w:r>
      <w:r w:rsidRPr="00997197">
        <w:t xml:space="preserve"> materials, labor, or real property as applied to projec</w:t>
      </w:r>
      <w:r>
        <w:t>ts or project capacity”</w:t>
      </w:r>
      <w:r>
        <w:rPr>
          <w:rStyle w:val="FootnoteReference"/>
        </w:rPr>
        <w:footnoteReference w:id="1"/>
      </w:r>
      <w:r>
        <w:t xml:space="preserve"> in the adopted project list</w:t>
      </w:r>
      <w:r w:rsidRPr="00997197">
        <w:t xml:space="preserve"> are not considered</w:t>
      </w:r>
      <w:r w:rsidRPr="00612AEC">
        <w:t xml:space="preserve"> modifications </w:t>
      </w:r>
      <w:r w:rsidRPr="00997197">
        <w:t>to the SDC</w:t>
      </w:r>
      <w:r>
        <w:t xml:space="preserve"> methodology</w:t>
      </w:r>
      <w:r w:rsidRPr="00997197">
        <w:t xml:space="preserve">. As such, the local government is not required to adhere to the </w:t>
      </w:r>
      <w:r>
        <w:t xml:space="preserve">methodology </w:t>
      </w:r>
      <w:r w:rsidRPr="00997197">
        <w:t>notification provisions.</w:t>
      </w:r>
      <w:r>
        <w:t xml:space="preserve">  </w:t>
      </w:r>
    </w:p>
    <w:p w14:paraId="1B73E4A6" w14:textId="77777777" w:rsidR="004F76A3" w:rsidRDefault="00D632B6">
      <w:pPr>
        <w:pStyle w:val="Heading3"/>
        <w:jc w:val="both"/>
      </w:pPr>
      <w:bookmarkStart w:id="4" w:name="_Toc78879419"/>
      <w:r w:rsidRPr="00997197">
        <w:lastRenderedPageBreak/>
        <w:t>Other Provisions</w:t>
      </w:r>
      <w:bookmarkEnd w:id="4"/>
    </w:p>
    <w:p w14:paraId="48177B90" w14:textId="77777777" w:rsidR="004F76A3" w:rsidRDefault="00D632B6">
      <w:pPr>
        <w:pStyle w:val="BodyText"/>
        <w:jc w:val="both"/>
      </w:pPr>
      <w:r w:rsidRPr="00997197">
        <w:t>Other provisions of the legislation require:</w:t>
      </w:r>
    </w:p>
    <w:p w14:paraId="46A8E40A" w14:textId="77777777" w:rsidR="004F76A3" w:rsidRDefault="00D632B6">
      <w:pPr>
        <w:pStyle w:val="Bullet"/>
        <w:numPr>
          <w:ilvl w:val="0"/>
          <w:numId w:val="7"/>
        </w:numPr>
        <w:jc w:val="both"/>
      </w:pPr>
      <w:r w:rsidRPr="00997197">
        <w:t>Deposit of SDC revenues into dedicated accounts and annual accounting of revenues and expenditures, including a list of the amount spent on each project funded, in whole or in part, by SDC revenues.</w:t>
      </w:r>
    </w:p>
    <w:p w14:paraId="4E0F4E42" w14:textId="77777777" w:rsidR="00A85108" w:rsidRDefault="00A85108">
      <w:pPr>
        <w:pStyle w:val="Bullet"/>
        <w:numPr>
          <w:ilvl w:val="0"/>
          <w:numId w:val="7"/>
        </w:numPr>
        <w:jc w:val="both"/>
      </w:pPr>
      <w:r>
        <w:t>Expenditure of SDCs may include costs of complying with the provisions of the law, including costs of developing SDC methodologies and providing an annual accounting of SDC expenditures.</w:t>
      </w:r>
    </w:p>
    <w:p w14:paraId="58413809" w14:textId="3C3A128B" w:rsidR="004F76A3" w:rsidRDefault="00D632B6">
      <w:pPr>
        <w:pStyle w:val="Bullet"/>
        <w:numPr>
          <w:ilvl w:val="0"/>
          <w:numId w:val="7"/>
        </w:numPr>
        <w:jc w:val="both"/>
      </w:pPr>
      <w:r w:rsidRPr="00997197">
        <w:t>Creation of an administrative appeals procedure, in accordance with the legislation, whereby a citizen or other interested party may challenge an expenditure of SDC revenues.</w:t>
      </w:r>
    </w:p>
    <w:p w14:paraId="590F9A65" w14:textId="0B5160D5" w:rsidR="00BC1DCB" w:rsidRDefault="00BC1DCB" w:rsidP="00BC1DCB">
      <w:pPr>
        <w:pStyle w:val="BodyText"/>
      </w:pPr>
      <w:bookmarkStart w:id="5" w:name="_Toc115531463"/>
    </w:p>
    <w:p w14:paraId="46A2E876" w14:textId="77777777" w:rsidR="00BC1DCB" w:rsidRDefault="00BC1DCB" w:rsidP="00BC1DCB">
      <w:pPr>
        <w:pStyle w:val="BodyText"/>
        <w:sectPr w:rsidR="00BC1DCB" w:rsidSect="00D632B6">
          <w:headerReference w:type="default" r:id="rId14"/>
          <w:footerReference w:type="default" r:id="rId15"/>
          <w:footerReference w:type="first" r:id="rId16"/>
          <w:pgSz w:w="12240" w:h="15840" w:code="1"/>
          <w:pgMar w:top="1440" w:right="1440" w:bottom="1440" w:left="1800" w:header="720" w:footer="720" w:gutter="0"/>
          <w:paperSrc w:first="15" w:other="15"/>
          <w:cols w:space="720"/>
          <w:titlePg/>
        </w:sectPr>
      </w:pPr>
    </w:p>
    <w:p w14:paraId="72BCD38D" w14:textId="77777777" w:rsidR="00180591" w:rsidRDefault="00180591" w:rsidP="00180591">
      <w:pPr>
        <w:pStyle w:val="Exhibit--Number"/>
      </w:pPr>
      <w:r>
        <w:lastRenderedPageBreak/>
        <w:t>Section 2</w:t>
      </w:r>
    </w:p>
    <w:p w14:paraId="510CBC83" w14:textId="4552EE20" w:rsidR="00180591" w:rsidRDefault="00184E41" w:rsidP="00180591">
      <w:pPr>
        <w:pStyle w:val="Heading1"/>
      </w:pPr>
      <w:r>
        <w:t>Wastewater</w:t>
      </w:r>
      <w:r w:rsidR="00180591">
        <w:t xml:space="preserve"> SDC Methodology</w:t>
      </w:r>
      <w:bookmarkEnd w:id="5"/>
    </w:p>
    <w:p w14:paraId="70A8C3D4" w14:textId="77777777" w:rsidR="00180591" w:rsidRDefault="00180591" w:rsidP="00180591">
      <w:pPr>
        <w:pStyle w:val="Heading2"/>
        <w:numPr>
          <w:ilvl w:val="0"/>
          <w:numId w:val="0"/>
        </w:numPr>
      </w:pPr>
      <w:r>
        <w:t>Overview</w:t>
      </w:r>
    </w:p>
    <w:p w14:paraId="156D9ED8" w14:textId="0E9BC1B5" w:rsidR="00180591" w:rsidRPr="002834EE" w:rsidRDefault="00180591" w:rsidP="00180591">
      <w:pPr>
        <w:pStyle w:val="BodyTextLast"/>
        <w:rPr>
          <w:rFonts w:ascii="Book Antiqua" w:hAnsi="Book Antiqua"/>
        </w:rPr>
      </w:pPr>
      <w:r w:rsidRPr="002834EE">
        <w:rPr>
          <w:rFonts w:ascii="Book Antiqua" w:hAnsi="Book Antiqua"/>
        </w:rPr>
        <w:t xml:space="preserve">The general methodology used to calculate </w:t>
      </w:r>
      <w:r w:rsidR="00184E41">
        <w:rPr>
          <w:rFonts w:ascii="Book Antiqua" w:hAnsi="Book Antiqua"/>
        </w:rPr>
        <w:t xml:space="preserve">wastewater </w:t>
      </w:r>
      <w:r w:rsidRPr="002834EE">
        <w:rPr>
          <w:rFonts w:ascii="Book Antiqua" w:hAnsi="Book Antiqua"/>
        </w:rPr>
        <w:t>SDCs begins with an analysi</w:t>
      </w:r>
      <w:r w:rsidR="00844D21">
        <w:rPr>
          <w:rFonts w:ascii="Book Antiqua" w:hAnsi="Book Antiqua"/>
        </w:rPr>
        <w:t xml:space="preserve">s of system planning assumptions </w:t>
      </w:r>
      <w:r w:rsidRPr="002834EE">
        <w:rPr>
          <w:rFonts w:ascii="Book Antiqua" w:hAnsi="Book Antiqua"/>
        </w:rPr>
        <w:t xml:space="preserve">to determine growth’s capacity needs, and how they will be met through existing system available capacity and capacity expansion.  Then, the capacity to serve growth is valued to determine the “cost basis” for the SDCs, which is then divided by the total growth capacity units to determine the system wide unit costs of capacity.  The final step is to determine the SDC schedule, which identifies how different developments will be charged, based on estimated capacity requirements.  </w:t>
      </w:r>
    </w:p>
    <w:p w14:paraId="29737DA4" w14:textId="6163554D" w:rsidR="00180591" w:rsidRPr="003661BB" w:rsidRDefault="00DE6E66" w:rsidP="00180591">
      <w:pPr>
        <w:pStyle w:val="Heading2"/>
        <w:numPr>
          <w:ilvl w:val="0"/>
          <w:numId w:val="0"/>
        </w:numPr>
      </w:pPr>
      <w:r>
        <w:t>Planning Criteria</w:t>
      </w:r>
      <w:r w:rsidR="00180591" w:rsidRPr="003661BB">
        <w:t xml:space="preserve"> </w:t>
      </w:r>
    </w:p>
    <w:p w14:paraId="5360A68F" w14:textId="5A77BEDA" w:rsidR="00DE6E66" w:rsidRDefault="00180591" w:rsidP="00DE6E66">
      <w:pPr>
        <w:pStyle w:val="BodyText"/>
      </w:pPr>
      <w:r w:rsidRPr="00B74E7E">
        <w:t>Table 1</w:t>
      </w:r>
      <w:r w:rsidRPr="00997197">
        <w:t xml:space="preserve"> </w:t>
      </w:r>
      <w:r w:rsidR="00DE6E66">
        <w:t>summarizes</w:t>
      </w:r>
      <w:r w:rsidR="00DE6E66" w:rsidRPr="00997197">
        <w:t xml:space="preserve"> the </w:t>
      </w:r>
      <w:r w:rsidR="00DE6E66">
        <w:t>existing conditions and expected future conditions</w:t>
      </w:r>
      <w:r w:rsidR="00DE6E66" w:rsidRPr="00997197">
        <w:t xml:space="preserve"> for the </w:t>
      </w:r>
      <w:r w:rsidR="00DE6E66">
        <w:t>wastewater system from the Wastewater Facilities Plan (Facilities Plan)</w:t>
      </w:r>
      <w:r w:rsidR="00DE6E66" w:rsidRPr="008E4E6A">
        <w:t>.</w:t>
      </w:r>
      <w:r w:rsidR="00DE6E66">
        <w:t xml:space="preserve"> </w:t>
      </w:r>
      <w:r w:rsidR="00DE6E66" w:rsidRPr="00071C33">
        <w:t xml:space="preserve">The </w:t>
      </w:r>
      <w:r w:rsidR="00DE6E66">
        <w:t xml:space="preserve">primary </w:t>
      </w:r>
      <w:proofErr w:type="spellStart"/>
      <w:r w:rsidR="00DE6E66">
        <w:t>relavent</w:t>
      </w:r>
      <w:proofErr w:type="spellEnd"/>
      <w:r w:rsidR="00DE6E66">
        <w:t xml:space="preserve"> </w:t>
      </w:r>
      <w:r w:rsidR="00DE6E66" w:rsidRPr="00071C33">
        <w:t>design criteria for</w:t>
      </w:r>
      <w:r w:rsidR="00DE6E66">
        <w:t xml:space="preserve"> the</w:t>
      </w:r>
      <w:r w:rsidR="00DE6E66" w:rsidRPr="00071C33">
        <w:t xml:space="preserve"> </w:t>
      </w:r>
      <w:r w:rsidR="00DE6E66">
        <w:t>system include the following:</w:t>
      </w:r>
    </w:p>
    <w:p w14:paraId="3B87764D" w14:textId="2C242923" w:rsidR="00DE6E66" w:rsidRDefault="00DE6E66" w:rsidP="00DE6E66">
      <w:pPr>
        <w:pStyle w:val="BodyText"/>
        <w:numPr>
          <w:ilvl w:val="0"/>
          <w:numId w:val="10"/>
        </w:numPr>
      </w:pPr>
      <w:r w:rsidRPr="00E2042C">
        <w:rPr>
          <w:b/>
        </w:rPr>
        <w:t xml:space="preserve">Peak </w:t>
      </w:r>
      <w:r>
        <w:rPr>
          <w:b/>
        </w:rPr>
        <w:t xml:space="preserve">Hour </w:t>
      </w:r>
      <w:r w:rsidRPr="00E2042C">
        <w:rPr>
          <w:b/>
        </w:rPr>
        <w:t>Weather Flow</w:t>
      </w:r>
      <w:r>
        <w:t xml:space="preserve">: the peak flow modeled for the collection system, which includes base wastewater flow, groundwater infiltration, and rainfall derived infiltration and inflow.  Peak hour flow is used to evaluate capacity needs for the </w:t>
      </w:r>
      <w:r w:rsidR="000C7A89">
        <w:t>wastewater treatment headworks.</w:t>
      </w:r>
    </w:p>
    <w:p w14:paraId="56D23FF0" w14:textId="3D4352A5" w:rsidR="00DE6E66" w:rsidRDefault="00DE6E66" w:rsidP="00DE6E66">
      <w:pPr>
        <w:pStyle w:val="BodyText"/>
        <w:numPr>
          <w:ilvl w:val="0"/>
          <w:numId w:val="10"/>
        </w:numPr>
      </w:pPr>
      <w:r w:rsidRPr="00E2042C">
        <w:rPr>
          <w:b/>
        </w:rPr>
        <w:t>Maximum month dry weather</w:t>
      </w:r>
      <w:r>
        <w:rPr>
          <w:b/>
        </w:rPr>
        <w:t xml:space="preserve"> and wet weather </w:t>
      </w:r>
      <w:r w:rsidRPr="00E2042C">
        <w:rPr>
          <w:b/>
        </w:rPr>
        <w:t>flow</w:t>
      </w:r>
      <w:r>
        <w:rPr>
          <w:b/>
        </w:rPr>
        <w:t>s</w:t>
      </w:r>
      <w:r>
        <w:t>:  the maximum month flow at the treatment plant during either the dry weather or wet weather season.  These parameters are used to evaluate capacity for different wastewater treatment processes</w:t>
      </w:r>
      <w:r w:rsidR="00D90A38">
        <w:t xml:space="preserve"> (e.g., effluent and lagoon piping, and irrigation piping and equipment)</w:t>
      </w:r>
      <w:r>
        <w:t>.</w:t>
      </w:r>
    </w:p>
    <w:p w14:paraId="4EA7C6C2" w14:textId="3BABCCE4" w:rsidR="00180591" w:rsidRPr="003661BB" w:rsidRDefault="00DE6E66" w:rsidP="001D3082">
      <w:pPr>
        <w:pStyle w:val="BodyText"/>
      </w:pPr>
      <w:r>
        <w:t xml:space="preserve">Table 1 also shows relevant design criteria for specific facilities </w:t>
      </w:r>
      <w:r w:rsidR="0042279F">
        <w:t xml:space="preserve">(lagoons and Hawn Creek Pump station) </w:t>
      </w:r>
      <w:r>
        <w:t>that require</w:t>
      </w:r>
      <w:r w:rsidR="0042279F">
        <w:t xml:space="preserve"> upgrade within the planning period</w:t>
      </w:r>
      <w:r w:rsidR="00BF64D2">
        <w:t xml:space="preserve"> (2037)</w:t>
      </w:r>
      <w:r w:rsidR="0042279F">
        <w:t>.</w:t>
      </w:r>
      <w:r w:rsidR="00180591">
        <w:t xml:space="preserve"> </w:t>
      </w:r>
    </w:p>
    <w:tbl>
      <w:tblPr>
        <w:tblW w:w="9260" w:type="dxa"/>
        <w:tblLook w:val="04A0" w:firstRow="1" w:lastRow="0" w:firstColumn="1" w:lastColumn="0" w:noHBand="0" w:noVBand="1"/>
      </w:tblPr>
      <w:tblGrid>
        <w:gridCol w:w="3596"/>
        <w:gridCol w:w="1396"/>
        <w:gridCol w:w="1556"/>
        <w:gridCol w:w="1476"/>
        <w:gridCol w:w="1236"/>
      </w:tblGrid>
      <w:tr w:rsidR="008447F2" w:rsidRPr="008447F2" w14:paraId="232810B4" w14:textId="77777777" w:rsidTr="008447F2">
        <w:trPr>
          <w:trHeight w:val="240"/>
        </w:trPr>
        <w:tc>
          <w:tcPr>
            <w:tcW w:w="3596" w:type="dxa"/>
            <w:tcBorders>
              <w:top w:val="nil"/>
              <w:left w:val="nil"/>
              <w:bottom w:val="nil"/>
              <w:right w:val="nil"/>
            </w:tcBorders>
            <w:shd w:val="clear" w:color="auto" w:fill="auto"/>
            <w:noWrap/>
            <w:vAlign w:val="bottom"/>
            <w:hideMark/>
          </w:tcPr>
          <w:p w14:paraId="7BB98341" w14:textId="77777777" w:rsidR="008447F2" w:rsidRPr="008447F2" w:rsidRDefault="008447F2" w:rsidP="008447F2">
            <w:pPr>
              <w:rPr>
                <w:rFonts w:ascii="Arial" w:hAnsi="Arial" w:cs="Arial"/>
                <w:b/>
                <w:bCs/>
                <w:color w:val="000000" w:themeColor="text1"/>
                <w:sz w:val="18"/>
                <w:szCs w:val="18"/>
              </w:rPr>
            </w:pPr>
            <w:r w:rsidRPr="008447F2">
              <w:rPr>
                <w:rFonts w:ascii="Arial" w:hAnsi="Arial" w:cs="Arial"/>
                <w:b/>
                <w:bCs/>
                <w:color w:val="000000" w:themeColor="text1"/>
                <w:sz w:val="18"/>
                <w:szCs w:val="18"/>
              </w:rPr>
              <w:t>Table 1</w:t>
            </w:r>
          </w:p>
        </w:tc>
        <w:tc>
          <w:tcPr>
            <w:tcW w:w="1396" w:type="dxa"/>
            <w:tcBorders>
              <w:top w:val="nil"/>
              <w:left w:val="nil"/>
              <w:bottom w:val="nil"/>
              <w:right w:val="nil"/>
            </w:tcBorders>
            <w:shd w:val="clear" w:color="auto" w:fill="auto"/>
            <w:noWrap/>
            <w:vAlign w:val="bottom"/>
            <w:hideMark/>
          </w:tcPr>
          <w:p w14:paraId="16ED4F93" w14:textId="77777777" w:rsidR="008447F2" w:rsidRPr="008447F2" w:rsidRDefault="008447F2" w:rsidP="008447F2">
            <w:pPr>
              <w:rPr>
                <w:rFonts w:ascii="Arial" w:hAnsi="Arial" w:cs="Arial"/>
                <w:b/>
                <w:bCs/>
                <w:color w:val="000000" w:themeColor="text1"/>
                <w:sz w:val="18"/>
                <w:szCs w:val="18"/>
              </w:rPr>
            </w:pPr>
          </w:p>
        </w:tc>
        <w:tc>
          <w:tcPr>
            <w:tcW w:w="1556" w:type="dxa"/>
            <w:tcBorders>
              <w:top w:val="nil"/>
              <w:left w:val="nil"/>
              <w:bottom w:val="nil"/>
              <w:right w:val="nil"/>
            </w:tcBorders>
            <w:shd w:val="clear" w:color="auto" w:fill="auto"/>
            <w:noWrap/>
            <w:vAlign w:val="bottom"/>
            <w:hideMark/>
          </w:tcPr>
          <w:p w14:paraId="291270BA" w14:textId="77777777" w:rsidR="008447F2" w:rsidRPr="008447F2" w:rsidRDefault="008447F2" w:rsidP="008447F2">
            <w:pPr>
              <w:rPr>
                <w:rFonts w:ascii="Times New Roman" w:hAnsi="Times New Roman"/>
                <w:color w:val="000000" w:themeColor="text1"/>
                <w:sz w:val="20"/>
              </w:rPr>
            </w:pPr>
          </w:p>
        </w:tc>
        <w:tc>
          <w:tcPr>
            <w:tcW w:w="1476" w:type="dxa"/>
            <w:tcBorders>
              <w:top w:val="nil"/>
              <w:left w:val="nil"/>
              <w:bottom w:val="nil"/>
              <w:right w:val="nil"/>
            </w:tcBorders>
            <w:shd w:val="clear" w:color="auto" w:fill="auto"/>
            <w:noWrap/>
            <w:vAlign w:val="bottom"/>
            <w:hideMark/>
          </w:tcPr>
          <w:p w14:paraId="437B5D7F" w14:textId="77777777" w:rsidR="008447F2" w:rsidRPr="008447F2" w:rsidRDefault="008447F2" w:rsidP="008447F2">
            <w:pPr>
              <w:rPr>
                <w:rFonts w:ascii="Times New Roman" w:hAnsi="Times New Roman"/>
                <w:color w:val="000000" w:themeColor="text1"/>
                <w:sz w:val="20"/>
              </w:rPr>
            </w:pPr>
          </w:p>
        </w:tc>
        <w:tc>
          <w:tcPr>
            <w:tcW w:w="1236" w:type="dxa"/>
            <w:tcBorders>
              <w:top w:val="nil"/>
              <w:left w:val="nil"/>
              <w:bottom w:val="nil"/>
              <w:right w:val="nil"/>
            </w:tcBorders>
            <w:shd w:val="clear" w:color="auto" w:fill="auto"/>
            <w:noWrap/>
            <w:vAlign w:val="bottom"/>
            <w:hideMark/>
          </w:tcPr>
          <w:p w14:paraId="6EBEA760" w14:textId="77777777" w:rsidR="008447F2" w:rsidRPr="008447F2" w:rsidRDefault="008447F2" w:rsidP="008447F2">
            <w:pPr>
              <w:rPr>
                <w:rFonts w:ascii="Times New Roman" w:hAnsi="Times New Roman"/>
                <w:color w:val="000000" w:themeColor="text1"/>
                <w:sz w:val="20"/>
              </w:rPr>
            </w:pPr>
          </w:p>
        </w:tc>
      </w:tr>
      <w:tr w:rsidR="008447F2" w:rsidRPr="008447F2" w14:paraId="20B92CA7" w14:textId="77777777" w:rsidTr="008447F2">
        <w:trPr>
          <w:trHeight w:val="240"/>
        </w:trPr>
        <w:tc>
          <w:tcPr>
            <w:tcW w:w="3596" w:type="dxa"/>
            <w:tcBorders>
              <w:top w:val="nil"/>
              <w:left w:val="nil"/>
              <w:bottom w:val="nil"/>
              <w:right w:val="nil"/>
            </w:tcBorders>
            <w:shd w:val="clear" w:color="auto" w:fill="auto"/>
            <w:noWrap/>
            <w:vAlign w:val="bottom"/>
            <w:hideMark/>
          </w:tcPr>
          <w:p w14:paraId="3979DD4F" w14:textId="27A3C1AC" w:rsidR="008447F2" w:rsidRPr="008447F2" w:rsidRDefault="008447F2" w:rsidP="008447F2">
            <w:pPr>
              <w:rPr>
                <w:rFonts w:ascii="Arial" w:hAnsi="Arial" w:cs="Arial"/>
                <w:i/>
                <w:iCs/>
                <w:color w:val="000000" w:themeColor="text1"/>
                <w:sz w:val="18"/>
                <w:szCs w:val="18"/>
              </w:rPr>
            </w:pPr>
            <w:r w:rsidRPr="008447F2">
              <w:rPr>
                <w:rFonts w:ascii="Arial" w:hAnsi="Arial" w:cs="Arial"/>
                <w:i/>
                <w:iCs/>
                <w:color w:val="000000" w:themeColor="text1"/>
                <w:sz w:val="18"/>
                <w:szCs w:val="18"/>
              </w:rPr>
              <w:t>Sewer System Planning Assumptions</w:t>
            </w:r>
            <w:r w:rsidR="00DA7134" w:rsidRPr="00DA7134">
              <w:rPr>
                <w:rFonts w:ascii="Arial" w:hAnsi="Arial" w:cs="Arial"/>
                <w:i/>
                <w:iCs/>
                <w:color w:val="000000" w:themeColor="text1"/>
                <w:sz w:val="18"/>
                <w:szCs w:val="18"/>
                <w:vertAlign w:val="superscript"/>
              </w:rPr>
              <w:t>1</w:t>
            </w:r>
            <w:r w:rsidRPr="008447F2">
              <w:rPr>
                <w:rFonts w:ascii="Arial" w:hAnsi="Arial" w:cs="Arial"/>
                <w:i/>
                <w:iCs/>
                <w:color w:val="000000" w:themeColor="text1"/>
                <w:sz w:val="18"/>
                <w:szCs w:val="18"/>
              </w:rPr>
              <w:t xml:space="preserve"> </w:t>
            </w:r>
          </w:p>
        </w:tc>
        <w:tc>
          <w:tcPr>
            <w:tcW w:w="1396" w:type="dxa"/>
            <w:tcBorders>
              <w:top w:val="nil"/>
              <w:left w:val="nil"/>
              <w:bottom w:val="nil"/>
              <w:right w:val="nil"/>
            </w:tcBorders>
            <w:shd w:val="clear" w:color="auto" w:fill="auto"/>
            <w:noWrap/>
            <w:vAlign w:val="bottom"/>
            <w:hideMark/>
          </w:tcPr>
          <w:p w14:paraId="132BF5F2" w14:textId="77777777" w:rsidR="008447F2" w:rsidRPr="008447F2" w:rsidRDefault="008447F2" w:rsidP="008447F2">
            <w:pPr>
              <w:rPr>
                <w:rFonts w:ascii="Arial" w:hAnsi="Arial" w:cs="Arial"/>
                <w:i/>
                <w:iCs/>
                <w:color w:val="000000" w:themeColor="text1"/>
                <w:sz w:val="18"/>
                <w:szCs w:val="18"/>
              </w:rPr>
            </w:pPr>
          </w:p>
        </w:tc>
        <w:tc>
          <w:tcPr>
            <w:tcW w:w="1556" w:type="dxa"/>
            <w:tcBorders>
              <w:top w:val="nil"/>
              <w:left w:val="nil"/>
              <w:bottom w:val="nil"/>
              <w:right w:val="nil"/>
            </w:tcBorders>
            <w:shd w:val="clear" w:color="auto" w:fill="auto"/>
            <w:noWrap/>
            <w:vAlign w:val="bottom"/>
            <w:hideMark/>
          </w:tcPr>
          <w:p w14:paraId="1886FB04" w14:textId="77777777" w:rsidR="008447F2" w:rsidRPr="008447F2" w:rsidRDefault="008447F2" w:rsidP="008447F2">
            <w:pPr>
              <w:rPr>
                <w:rFonts w:ascii="Times New Roman" w:hAnsi="Times New Roman"/>
                <w:color w:val="000000" w:themeColor="text1"/>
                <w:sz w:val="20"/>
              </w:rPr>
            </w:pPr>
          </w:p>
        </w:tc>
        <w:tc>
          <w:tcPr>
            <w:tcW w:w="1476" w:type="dxa"/>
            <w:tcBorders>
              <w:top w:val="nil"/>
              <w:left w:val="nil"/>
              <w:bottom w:val="nil"/>
              <w:right w:val="nil"/>
            </w:tcBorders>
            <w:shd w:val="clear" w:color="auto" w:fill="auto"/>
            <w:noWrap/>
            <w:vAlign w:val="bottom"/>
            <w:hideMark/>
          </w:tcPr>
          <w:p w14:paraId="0D58817A" w14:textId="77777777" w:rsidR="008447F2" w:rsidRPr="008447F2" w:rsidRDefault="008447F2" w:rsidP="008447F2">
            <w:pPr>
              <w:rPr>
                <w:rFonts w:ascii="Times New Roman" w:hAnsi="Times New Roman"/>
                <w:color w:val="000000" w:themeColor="text1"/>
                <w:sz w:val="20"/>
              </w:rPr>
            </w:pPr>
          </w:p>
        </w:tc>
        <w:tc>
          <w:tcPr>
            <w:tcW w:w="1236" w:type="dxa"/>
            <w:tcBorders>
              <w:top w:val="nil"/>
              <w:left w:val="nil"/>
              <w:bottom w:val="nil"/>
              <w:right w:val="nil"/>
            </w:tcBorders>
            <w:shd w:val="clear" w:color="auto" w:fill="auto"/>
            <w:noWrap/>
            <w:vAlign w:val="bottom"/>
            <w:hideMark/>
          </w:tcPr>
          <w:p w14:paraId="176BE191" w14:textId="77777777" w:rsidR="008447F2" w:rsidRPr="008447F2" w:rsidRDefault="008447F2" w:rsidP="008447F2">
            <w:pPr>
              <w:rPr>
                <w:rFonts w:ascii="Times New Roman" w:hAnsi="Times New Roman"/>
                <w:color w:val="000000" w:themeColor="text1"/>
                <w:sz w:val="20"/>
              </w:rPr>
            </w:pPr>
          </w:p>
        </w:tc>
      </w:tr>
      <w:tr w:rsidR="008447F2" w:rsidRPr="008447F2" w14:paraId="763F3020" w14:textId="77777777" w:rsidTr="008447F2">
        <w:trPr>
          <w:trHeight w:val="240"/>
        </w:trPr>
        <w:tc>
          <w:tcPr>
            <w:tcW w:w="3596" w:type="dxa"/>
            <w:tcBorders>
              <w:top w:val="single" w:sz="4" w:space="0" w:color="auto"/>
              <w:left w:val="nil"/>
              <w:bottom w:val="nil"/>
              <w:right w:val="nil"/>
            </w:tcBorders>
            <w:shd w:val="clear" w:color="auto" w:fill="auto"/>
            <w:noWrap/>
            <w:vAlign w:val="bottom"/>
            <w:hideMark/>
          </w:tcPr>
          <w:p w14:paraId="7AF2C640" w14:textId="77777777" w:rsidR="008447F2" w:rsidRPr="008447F2" w:rsidRDefault="008447F2" w:rsidP="008447F2">
            <w:pPr>
              <w:rPr>
                <w:rFonts w:ascii="Arial" w:hAnsi="Arial" w:cs="Arial"/>
                <w:i/>
                <w:iCs/>
                <w:color w:val="000000" w:themeColor="text1"/>
                <w:sz w:val="18"/>
                <w:szCs w:val="18"/>
              </w:rPr>
            </w:pPr>
            <w:r w:rsidRPr="008447F2">
              <w:rPr>
                <w:rFonts w:ascii="Arial" w:hAnsi="Arial" w:cs="Arial"/>
                <w:i/>
                <w:iCs/>
                <w:color w:val="000000" w:themeColor="text1"/>
                <w:sz w:val="18"/>
                <w:szCs w:val="18"/>
              </w:rPr>
              <w:t> </w:t>
            </w:r>
          </w:p>
        </w:tc>
        <w:tc>
          <w:tcPr>
            <w:tcW w:w="1396" w:type="dxa"/>
            <w:tcBorders>
              <w:top w:val="single" w:sz="4" w:space="0" w:color="auto"/>
              <w:left w:val="nil"/>
              <w:bottom w:val="nil"/>
              <w:right w:val="nil"/>
            </w:tcBorders>
            <w:shd w:val="clear" w:color="auto" w:fill="auto"/>
            <w:noWrap/>
            <w:vAlign w:val="bottom"/>
            <w:hideMark/>
          </w:tcPr>
          <w:p w14:paraId="4EAC7F4F" w14:textId="054EA52E" w:rsidR="008447F2" w:rsidRPr="008447F2" w:rsidRDefault="008447F2" w:rsidP="008447F2">
            <w:pPr>
              <w:jc w:val="center"/>
              <w:rPr>
                <w:rFonts w:ascii="Arial" w:hAnsi="Arial" w:cs="Arial"/>
                <w:color w:val="000000" w:themeColor="text1"/>
                <w:sz w:val="18"/>
                <w:szCs w:val="18"/>
              </w:rPr>
            </w:pPr>
          </w:p>
        </w:tc>
        <w:tc>
          <w:tcPr>
            <w:tcW w:w="1556" w:type="dxa"/>
            <w:tcBorders>
              <w:top w:val="single" w:sz="4" w:space="0" w:color="auto"/>
              <w:left w:val="nil"/>
              <w:bottom w:val="nil"/>
              <w:right w:val="nil"/>
            </w:tcBorders>
            <w:shd w:val="clear" w:color="auto" w:fill="auto"/>
            <w:noWrap/>
            <w:vAlign w:val="bottom"/>
            <w:hideMark/>
          </w:tcPr>
          <w:p w14:paraId="4A9CCF7E" w14:textId="77777777" w:rsidR="008447F2" w:rsidRPr="008447F2" w:rsidRDefault="008447F2" w:rsidP="008447F2">
            <w:pPr>
              <w:jc w:val="center"/>
              <w:rPr>
                <w:rFonts w:ascii="Arial" w:hAnsi="Arial" w:cs="Arial"/>
                <w:color w:val="000000" w:themeColor="text1"/>
                <w:sz w:val="18"/>
                <w:szCs w:val="18"/>
              </w:rPr>
            </w:pPr>
            <w:r w:rsidRPr="008447F2">
              <w:rPr>
                <w:rFonts w:ascii="Arial" w:hAnsi="Arial" w:cs="Arial"/>
                <w:color w:val="000000" w:themeColor="text1"/>
                <w:sz w:val="18"/>
                <w:szCs w:val="18"/>
              </w:rPr>
              <w:t>2037</w:t>
            </w:r>
          </w:p>
        </w:tc>
        <w:tc>
          <w:tcPr>
            <w:tcW w:w="2712" w:type="dxa"/>
            <w:gridSpan w:val="2"/>
            <w:tcBorders>
              <w:top w:val="single" w:sz="4" w:space="0" w:color="auto"/>
              <w:left w:val="nil"/>
              <w:bottom w:val="nil"/>
              <w:right w:val="nil"/>
            </w:tcBorders>
            <w:shd w:val="clear" w:color="auto" w:fill="auto"/>
            <w:vAlign w:val="bottom"/>
            <w:hideMark/>
          </w:tcPr>
          <w:p w14:paraId="7CD0EDC9" w14:textId="77777777" w:rsidR="008447F2" w:rsidRPr="008447F2" w:rsidRDefault="008447F2" w:rsidP="008447F2">
            <w:pPr>
              <w:jc w:val="center"/>
              <w:rPr>
                <w:rFonts w:ascii="Arial" w:hAnsi="Arial" w:cs="Arial"/>
                <w:b/>
                <w:bCs/>
                <w:color w:val="000000" w:themeColor="text1"/>
                <w:sz w:val="18"/>
                <w:szCs w:val="18"/>
              </w:rPr>
            </w:pPr>
            <w:r w:rsidRPr="008447F2">
              <w:rPr>
                <w:rFonts w:ascii="Arial" w:hAnsi="Arial" w:cs="Arial"/>
                <w:b/>
                <w:bCs/>
                <w:color w:val="000000" w:themeColor="text1"/>
                <w:sz w:val="18"/>
                <w:szCs w:val="18"/>
              </w:rPr>
              <w:t>Growth</w:t>
            </w:r>
          </w:p>
        </w:tc>
      </w:tr>
      <w:tr w:rsidR="008447F2" w:rsidRPr="008447F2" w14:paraId="1CDD2F9C" w14:textId="77777777" w:rsidTr="008447F2">
        <w:trPr>
          <w:trHeight w:val="260"/>
        </w:trPr>
        <w:tc>
          <w:tcPr>
            <w:tcW w:w="3596" w:type="dxa"/>
            <w:tcBorders>
              <w:top w:val="nil"/>
              <w:left w:val="nil"/>
              <w:bottom w:val="single" w:sz="8" w:space="0" w:color="auto"/>
              <w:right w:val="nil"/>
            </w:tcBorders>
            <w:shd w:val="clear" w:color="auto" w:fill="auto"/>
            <w:noWrap/>
            <w:vAlign w:val="bottom"/>
            <w:hideMark/>
          </w:tcPr>
          <w:p w14:paraId="7126426B" w14:textId="77777777" w:rsidR="008447F2" w:rsidRPr="008447F2" w:rsidRDefault="008447F2" w:rsidP="008447F2">
            <w:pPr>
              <w:rPr>
                <w:rFonts w:ascii="Arial" w:hAnsi="Arial" w:cs="Arial"/>
                <w:b/>
                <w:bCs/>
                <w:color w:val="000000" w:themeColor="text1"/>
                <w:sz w:val="18"/>
                <w:szCs w:val="18"/>
              </w:rPr>
            </w:pPr>
            <w:r w:rsidRPr="008447F2">
              <w:rPr>
                <w:rFonts w:ascii="Arial" w:hAnsi="Arial" w:cs="Arial"/>
                <w:b/>
                <w:bCs/>
                <w:color w:val="000000" w:themeColor="text1"/>
                <w:sz w:val="18"/>
                <w:szCs w:val="18"/>
              </w:rPr>
              <w:t>Capacity Parameter</w:t>
            </w:r>
          </w:p>
        </w:tc>
        <w:tc>
          <w:tcPr>
            <w:tcW w:w="1396" w:type="dxa"/>
            <w:tcBorders>
              <w:top w:val="nil"/>
              <w:left w:val="nil"/>
              <w:bottom w:val="single" w:sz="8" w:space="0" w:color="auto"/>
              <w:right w:val="nil"/>
            </w:tcBorders>
            <w:shd w:val="clear" w:color="auto" w:fill="auto"/>
            <w:noWrap/>
            <w:vAlign w:val="bottom"/>
            <w:hideMark/>
          </w:tcPr>
          <w:p w14:paraId="63CEFA61" w14:textId="77777777" w:rsidR="008447F2" w:rsidRPr="008447F2" w:rsidRDefault="008447F2" w:rsidP="008447F2">
            <w:pPr>
              <w:jc w:val="center"/>
              <w:rPr>
                <w:rFonts w:ascii="Arial" w:hAnsi="Arial" w:cs="Arial"/>
                <w:color w:val="000000" w:themeColor="text1"/>
                <w:sz w:val="18"/>
                <w:szCs w:val="18"/>
              </w:rPr>
            </w:pPr>
            <w:r w:rsidRPr="008447F2">
              <w:rPr>
                <w:rFonts w:ascii="Arial" w:hAnsi="Arial" w:cs="Arial"/>
                <w:color w:val="000000" w:themeColor="text1"/>
                <w:sz w:val="18"/>
                <w:szCs w:val="18"/>
              </w:rPr>
              <w:t>Current</w:t>
            </w:r>
          </w:p>
        </w:tc>
        <w:tc>
          <w:tcPr>
            <w:tcW w:w="1556" w:type="dxa"/>
            <w:tcBorders>
              <w:top w:val="nil"/>
              <w:left w:val="nil"/>
              <w:bottom w:val="single" w:sz="8" w:space="0" w:color="auto"/>
              <w:right w:val="nil"/>
            </w:tcBorders>
            <w:shd w:val="clear" w:color="auto" w:fill="auto"/>
            <w:noWrap/>
            <w:vAlign w:val="bottom"/>
            <w:hideMark/>
          </w:tcPr>
          <w:p w14:paraId="166850A7" w14:textId="2ECC9546" w:rsidR="008447F2" w:rsidRPr="008447F2" w:rsidRDefault="009F7530" w:rsidP="008447F2">
            <w:pPr>
              <w:jc w:val="center"/>
              <w:rPr>
                <w:rFonts w:ascii="Arial" w:hAnsi="Arial" w:cs="Arial"/>
                <w:color w:val="000000" w:themeColor="text1"/>
                <w:sz w:val="18"/>
                <w:szCs w:val="18"/>
              </w:rPr>
            </w:pPr>
            <w:r>
              <w:rPr>
                <w:rFonts w:ascii="Arial" w:hAnsi="Arial" w:cs="Arial"/>
                <w:color w:val="000000" w:themeColor="text1"/>
                <w:sz w:val="18"/>
                <w:szCs w:val="18"/>
              </w:rPr>
              <w:t>2037</w:t>
            </w:r>
          </w:p>
        </w:tc>
        <w:tc>
          <w:tcPr>
            <w:tcW w:w="1476" w:type="dxa"/>
            <w:tcBorders>
              <w:top w:val="nil"/>
              <w:left w:val="nil"/>
              <w:bottom w:val="single" w:sz="8" w:space="0" w:color="auto"/>
              <w:right w:val="nil"/>
            </w:tcBorders>
            <w:shd w:val="clear" w:color="auto" w:fill="auto"/>
            <w:vAlign w:val="bottom"/>
            <w:hideMark/>
          </w:tcPr>
          <w:p w14:paraId="3AEAE259" w14:textId="77777777" w:rsidR="008447F2" w:rsidRPr="008447F2" w:rsidRDefault="008447F2" w:rsidP="008447F2">
            <w:pPr>
              <w:jc w:val="center"/>
              <w:rPr>
                <w:rFonts w:ascii="Arial" w:hAnsi="Arial" w:cs="Arial"/>
                <w:color w:val="000000" w:themeColor="text1"/>
                <w:sz w:val="18"/>
                <w:szCs w:val="18"/>
              </w:rPr>
            </w:pPr>
            <w:proofErr w:type="spellStart"/>
            <w:r w:rsidRPr="008447F2">
              <w:rPr>
                <w:rFonts w:ascii="Arial" w:hAnsi="Arial" w:cs="Arial"/>
                <w:color w:val="000000" w:themeColor="text1"/>
                <w:sz w:val="18"/>
                <w:szCs w:val="18"/>
              </w:rPr>
              <w:t>Qty</w:t>
            </w:r>
            <w:proofErr w:type="spellEnd"/>
          </w:p>
        </w:tc>
        <w:tc>
          <w:tcPr>
            <w:tcW w:w="1236" w:type="dxa"/>
            <w:tcBorders>
              <w:top w:val="nil"/>
              <w:left w:val="nil"/>
              <w:bottom w:val="single" w:sz="8" w:space="0" w:color="auto"/>
              <w:right w:val="nil"/>
            </w:tcBorders>
            <w:shd w:val="clear" w:color="auto" w:fill="auto"/>
            <w:vAlign w:val="bottom"/>
            <w:hideMark/>
          </w:tcPr>
          <w:p w14:paraId="5FFA3557" w14:textId="77777777" w:rsidR="008447F2" w:rsidRPr="008447F2" w:rsidRDefault="008447F2" w:rsidP="008447F2">
            <w:pPr>
              <w:jc w:val="center"/>
              <w:rPr>
                <w:rFonts w:ascii="Arial" w:hAnsi="Arial" w:cs="Arial"/>
                <w:color w:val="000000" w:themeColor="text1"/>
                <w:sz w:val="18"/>
                <w:szCs w:val="18"/>
              </w:rPr>
            </w:pPr>
            <w:r w:rsidRPr="008447F2">
              <w:rPr>
                <w:rFonts w:ascii="Arial" w:hAnsi="Arial" w:cs="Arial"/>
                <w:color w:val="000000" w:themeColor="text1"/>
                <w:sz w:val="18"/>
                <w:szCs w:val="18"/>
              </w:rPr>
              <w:t>% of future</w:t>
            </w:r>
          </w:p>
        </w:tc>
      </w:tr>
      <w:tr w:rsidR="008447F2" w:rsidRPr="008447F2" w14:paraId="74011F1F" w14:textId="77777777" w:rsidTr="008447F2">
        <w:trPr>
          <w:trHeight w:val="225"/>
        </w:trPr>
        <w:tc>
          <w:tcPr>
            <w:tcW w:w="3596" w:type="dxa"/>
            <w:tcBorders>
              <w:top w:val="nil"/>
              <w:left w:val="nil"/>
              <w:bottom w:val="nil"/>
              <w:right w:val="nil"/>
            </w:tcBorders>
            <w:shd w:val="clear" w:color="auto" w:fill="auto"/>
            <w:noWrap/>
            <w:vAlign w:val="bottom"/>
            <w:hideMark/>
          </w:tcPr>
          <w:p w14:paraId="0B4460B1" w14:textId="7E83372F"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Equivalent Residential Units</w:t>
            </w:r>
            <w:r w:rsidR="00DA7134" w:rsidRPr="00DA7134">
              <w:rPr>
                <w:rFonts w:ascii="Arial" w:hAnsi="Arial" w:cs="Arial"/>
                <w:color w:val="000000" w:themeColor="text1"/>
                <w:sz w:val="18"/>
                <w:szCs w:val="18"/>
                <w:vertAlign w:val="superscript"/>
              </w:rPr>
              <w:t>2</w:t>
            </w:r>
          </w:p>
        </w:tc>
        <w:tc>
          <w:tcPr>
            <w:tcW w:w="1396" w:type="dxa"/>
            <w:tcBorders>
              <w:top w:val="nil"/>
              <w:left w:val="nil"/>
              <w:bottom w:val="nil"/>
              <w:right w:val="nil"/>
            </w:tcBorders>
            <w:shd w:val="clear" w:color="auto" w:fill="auto"/>
            <w:noWrap/>
            <w:vAlign w:val="bottom"/>
            <w:hideMark/>
          </w:tcPr>
          <w:p w14:paraId="593E301B" w14:textId="21F5190D" w:rsidR="008447F2" w:rsidRPr="008447F2" w:rsidRDefault="00DA7134" w:rsidP="008447F2">
            <w:pPr>
              <w:jc w:val="right"/>
              <w:rPr>
                <w:rFonts w:ascii="Arial" w:hAnsi="Arial" w:cs="Arial"/>
                <w:color w:val="000000" w:themeColor="text1"/>
                <w:sz w:val="18"/>
                <w:szCs w:val="18"/>
              </w:rPr>
            </w:pPr>
            <w:r>
              <w:rPr>
                <w:rFonts w:ascii="Arial" w:hAnsi="Arial" w:cs="Arial"/>
                <w:color w:val="000000" w:themeColor="text1"/>
                <w:sz w:val="18"/>
                <w:szCs w:val="18"/>
              </w:rPr>
              <w:t>1,291</w:t>
            </w:r>
          </w:p>
        </w:tc>
        <w:tc>
          <w:tcPr>
            <w:tcW w:w="1556" w:type="dxa"/>
            <w:tcBorders>
              <w:top w:val="nil"/>
              <w:left w:val="nil"/>
              <w:bottom w:val="nil"/>
              <w:right w:val="nil"/>
            </w:tcBorders>
            <w:shd w:val="clear" w:color="auto" w:fill="auto"/>
            <w:noWrap/>
            <w:vAlign w:val="bottom"/>
            <w:hideMark/>
          </w:tcPr>
          <w:p w14:paraId="41C8526D" w14:textId="1FFC5258" w:rsidR="008447F2" w:rsidRPr="008447F2" w:rsidRDefault="008447F2" w:rsidP="00DA7134">
            <w:pPr>
              <w:rPr>
                <w:rFonts w:ascii="Arial" w:hAnsi="Arial" w:cs="Arial"/>
                <w:color w:val="000000" w:themeColor="text1"/>
                <w:sz w:val="18"/>
                <w:szCs w:val="18"/>
              </w:rPr>
            </w:pPr>
            <w:r w:rsidRPr="008447F2">
              <w:rPr>
                <w:rFonts w:ascii="Arial" w:hAnsi="Arial" w:cs="Arial"/>
                <w:color w:val="000000" w:themeColor="text1"/>
                <w:sz w:val="18"/>
                <w:szCs w:val="18"/>
              </w:rPr>
              <w:t xml:space="preserve">               1,</w:t>
            </w:r>
            <w:r w:rsidR="00DA7134">
              <w:rPr>
                <w:rFonts w:ascii="Arial" w:hAnsi="Arial" w:cs="Arial"/>
                <w:color w:val="000000" w:themeColor="text1"/>
                <w:sz w:val="18"/>
                <w:szCs w:val="18"/>
              </w:rPr>
              <w:t>755</w:t>
            </w:r>
            <w:r w:rsidRPr="008447F2">
              <w:rPr>
                <w:rFonts w:ascii="Arial" w:hAnsi="Arial" w:cs="Arial"/>
                <w:color w:val="000000" w:themeColor="text1"/>
                <w:sz w:val="18"/>
                <w:szCs w:val="18"/>
              </w:rPr>
              <w:t xml:space="preserve"> </w:t>
            </w:r>
          </w:p>
        </w:tc>
        <w:tc>
          <w:tcPr>
            <w:tcW w:w="1476" w:type="dxa"/>
            <w:tcBorders>
              <w:top w:val="nil"/>
              <w:left w:val="nil"/>
              <w:bottom w:val="nil"/>
              <w:right w:val="nil"/>
            </w:tcBorders>
            <w:shd w:val="clear" w:color="auto" w:fill="auto"/>
            <w:noWrap/>
            <w:vAlign w:val="bottom"/>
            <w:hideMark/>
          </w:tcPr>
          <w:p w14:paraId="3D0EF88A" w14:textId="60E3FA21" w:rsidR="008447F2" w:rsidRPr="008447F2" w:rsidRDefault="008447F2" w:rsidP="00D9683B">
            <w:pPr>
              <w:rPr>
                <w:rFonts w:ascii="Arial" w:hAnsi="Arial" w:cs="Arial"/>
                <w:color w:val="000000" w:themeColor="text1"/>
                <w:sz w:val="18"/>
                <w:szCs w:val="18"/>
              </w:rPr>
            </w:pPr>
            <w:r w:rsidRPr="008447F2">
              <w:rPr>
                <w:rFonts w:ascii="Arial" w:hAnsi="Arial" w:cs="Arial"/>
                <w:color w:val="000000" w:themeColor="text1"/>
                <w:sz w:val="18"/>
                <w:szCs w:val="18"/>
              </w:rPr>
              <w:t xml:space="preserve">                </w:t>
            </w:r>
            <w:r w:rsidR="00D9683B">
              <w:rPr>
                <w:rFonts w:ascii="Arial" w:hAnsi="Arial" w:cs="Arial"/>
                <w:color w:val="000000" w:themeColor="text1"/>
                <w:sz w:val="18"/>
                <w:szCs w:val="18"/>
              </w:rPr>
              <w:t>464</w:t>
            </w:r>
            <w:r w:rsidRPr="008447F2">
              <w:rPr>
                <w:rFonts w:ascii="Arial" w:hAnsi="Arial" w:cs="Arial"/>
                <w:color w:val="000000" w:themeColor="text1"/>
                <w:sz w:val="18"/>
                <w:szCs w:val="18"/>
              </w:rPr>
              <w:t xml:space="preserve"> </w:t>
            </w:r>
          </w:p>
        </w:tc>
        <w:tc>
          <w:tcPr>
            <w:tcW w:w="1236" w:type="dxa"/>
            <w:tcBorders>
              <w:top w:val="nil"/>
              <w:left w:val="nil"/>
              <w:bottom w:val="nil"/>
              <w:right w:val="nil"/>
            </w:tcBorders>
            <w:shd w:val="clear" w:color="auto" w:fill="auto"/>
            <w:noWrap/>
            <w:vAlign w:val="bottom"/>
            <w:hideMark/>
          </w:tcPr>
          <w:p w14:paraId="026190EA" w14:textId="7E3F7535" w:rsidR="008447F2" w:rsidRPr="008447F2" w:rsidRDefault="008447F2" w:rsidP="00D9683B">
            <w:pPr>
              <w:jc w:val="right"/>
              <w:rPr>
                <w:rFonts w:ascii="Arial" w:hAnsi="Arial" w:cs="Arial"/>
                <w:color w:val="000000" w:themeColor="text1"/>
                <w:sz w:val="18"/>
                <w:szCs w:val="18"/>
              </w:rPr>
            </w:pPr>
            <w:r w:rsidRPr="008447F2">
              <w:rPr>
                <w:rFonts w:ascii="Arial" w:hAnsi="Arial" w:cs="Arial"/>
                <w:color w:val="000000" w:themeColor="text1"/>
                <w:sz w:val="18"/>
                <w:szCs w:val="18"/>
              </w:rPr>
              <w:t>2</w:t>
            </w:r>
            <w:r w:rsidR="00D9683B">
              <w:rPr>
                <w:rFonts w:ascii="Arial" w:hAnsi="Arial" w:cs="Arial"/>
                <w:color w:val="000000" w:themeColor="text1"/>
                <w:sz w:val="18"/>
                <w:szCs w:val="18"/>
              </w:rPr>
              <w:t>6</w:t>
            </w:r>
            <w:r w:rsidRPr="008447F2">
              <w:rPr>
                <w:rFonts w:ascii="Arial" w:hAnsi="Arial" w:cs="Arial"/>
                <w:color w:val="000000" w:themeColor="text1"/>
                <w:sz w:val="18"/>
                <w:szCs w:val="18"/>
              </w:rPr>
              <w:t>%</w:t>
            </w:r>
          </w:p>
        </w:tc>
      </w:tr>
      <w:tr w:rsidR="008447F2" w:rsidRPr="008447F2" w14:paraId="14075BD0" w14:textId="77777777" w:rsidTr="009F7530">
        <w:trPr>
          <w:trHeight w:val="153"/>
        </w:trPr>
        <w:tc>
          <w:tcPr>
            <w:tcW w:w="3596" w:type="dxa"/>
            <w:tcBorders>
              <w:top w:val="nil"/>
              <w:left w:val="nil"/>
              <w:bottom w:val="nil"/>
              <w:right w:val="nil"/>
            </w:tcBorders>
            <w:shd w:val="clear" w:color="auto" w:fill="auto"/>
            <w:noWrap/>
            <w:vAlign w:val="bottom"/>
            <w:hideMark/>
          </w:tcPr>
          <w:p w14:paraId="6A13D85B" w14:textId="77777777" w:rsidR="008447F2" w:rsidRPr="008447F2" w:rsidRDefault="008447F2" w:rsidP="008447F2">
            <w:pPr>
              <w:jc w:val="right"/>
              <w:rPr>
                <w:rFonts w:ascii="Arial" w:hAnsi="Arial" w:cs="Arial"/>
                <w:color w:val="000000" w:themeColor="text1"/>
                <w:sz w:val="18"/>
                <w:szCs w:val="18"/>
              </w:rPr>
            </w:pPr>
          </w:p>
        </w:tc>
        <w:tc>
          <w:tcPr>
            <w:tcW w:w="1396" w:type="dxa"/>
            <w:tcBorders>
              <w:top w:val="nil"/>
              <w:left w:val="nil"/>
              <w:bottom w:val="nil"/>
              <w:right w:val="nil"/>
            </w:tcBorders>
            <w:shd w:val="clear" w:color="auto" w:fill="auto"/>
            <w:noWrap/>
            <w:vAlign w:val="bottom"/>
            <w:hideMark/>
          </w:tcPr>
          <w:p w14:paraId="166001CA" w14:textId="77777777" w:rsidR="008447F2" w:rsidRPr="008447F2" w:rsidRDefault="008447F2" w:rsidP="008447F2">
            <w:pPr>
              <w:rPr>
                <w:rFonts w:ascii="Times New Roman" w:hAnsi="Times New Roman"/>
                <w:color w:val="000000" w:themeColor="text1"/>
                <w:sz w:val="20"/>
              </w:rPr>
            </w:pPr>
          </w:p>
        </w:tc>
        <w:tc>
          <w:tcPr>
            <w:tcW w:w="1556" w:type="dxa"/>
            <w:tcBorders>
              <w:top w:val="nil"/>
              <w:left w:val="nil"/>
              <w:bottom w:val="nil"/>
              <w:right w:val="nil"/>
            </w:tcBorders>
            <w:shd w:val="clear" w:color="auto" w:fill="auto"/>
            <w:noWrap/>
            <w:vAlign w:val="bottom"/>
            <w:hideMark/>
          </w:tcPr>
          <w:p w14:paraId="7C3156FB" w14:textId="77777777" w:rsidR="008447F2" w:rsidRPr="008447F2" w:rsidRDefault="008447F2" w:rsidP="008447F2">
            <w:pPr>
              <w:rPr>
                <w:rFonts w:ascii="Times New Roman" w:hAnsi="Times New Roman"/>
                <w:color w:val="000000" w:themeColor="text1"/>
                <w:sz w:val="20"/>
              </w:rPr>
            </w:pPr>
          </w:p>
        </w:tc>
        <w:tc>
          <w:tcPr>
            <w:tcW w:w="1476" w:type="dxa"/>
            <w:tcBorders>
              <w:top w:val="nil"/>
              <w:left w:val="nil"/>
              <w:bottom w:val="nil"/>
              <w:right w:val="nil"/>
            </w:tcBorders>
            <w:shd w:val="clear" w:color="auto" w:fill="auto"/>
            <w:noWrap/>
            <w:vAlign w:val="bottom"/>
            <w:hideMark/>
          </w:tcPr>
          <w:p w14:paraId="0BE2C8A8" w14:textId="77777777" w:rsidR="008447F2" w:rsidRPr="008447F2" w:rsidRDefault="008447F2" w:rsidP="008447F2">
            <w:pPr>
              <w:rPr>
                <w:rFonts w:ascii="Times New Roman" w:hAnsi="Times New Roman"/>
                <w:color w:val="000000" w:themeColor="text1"/>
                <w:sz w:val="20"/>
              </w:rPr>
            </w:pPr>
          </w:p>
        </w:tc>
        <w:tc>
          <w:tcPr>
            <w:tcW w:w="1236" w:type="dxa"/>
            <w:tcBorders>
              <w:top w:val="nil"/>
              <w:left w:val="nil"/>
              <w:bottom w:val="nil"/>
              <w:right w:val="nil"/>
            </w:tcBorders>
            <w:shd w:val="clear" w:color="auto" w:fill="auto"/>
            <w:noWrap/>
            <w:vAlign w:val="bottom"/>
            <w:hideMark/>
          </w:tcPr>
          <w:p w14:paraId="1638970C" w14:textId="77777777" w:rsidR="008447F2" w:rsidRPr="008447F2" w:rsidRDefault="008447F2" w:rsidP="008447F2">
            <w:pPr>
              <w:rPr>
                <w:rFonts w:ascii="Times New Roman" w:hAnsi="Times New Roman"/>
                <w:color w:val="000000" w:themeColor="text1"/>
                <w:sz w:val="20"/>
              </w:rPr>
            </w:pPr>
          </w:p>
        </w:tc>
      </w:tr>
      <w:tr w:rsidR="008447F2" w:rsidRPr="008447F2" w14:paraId="1A2D298F" w14:textId="77777777" w:rsidTr="008447F2">
        <w:trPr>
          <w:trHeight w:val="255"/>
        </w:trPr>
        <w:tc>
          <w:tcPr>
            <w:tcW w:w="3596" w:type="dxa"/>
            <w:tcBorders>
              <w:top w:val="nil"/>
              <w:left w:val="nil"/>
              <w:bottom w:val="nil"/>
              <w:right w:val="nil"/>
            </w:tcBorders>
            <w:shd w:val="clear" w:color="auto" w:fill="auto"/>
            <w:noWrap/>
            <w:vAlign w:val="bottom"/>
            <w:hideMark/>
          </w:tcPr>
          <w:p w14:paraId="7959F3BB"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Peak Hour Flow (mgd)</w:t>
            </w:r>
          </w:p>
        </w:tc>
        <w:tc>
          <w:tcPr>
            <w:tcW w:w="1396" w:type="dxa"/>
            <w:tcBorders>
              <w:top w:val="nil"/>
              <w:left w:val="nil"/>
              <w:bottom w:val="nil"/>
              <w:right w:val="nil"/>
            </w:tcBorders>
            <w:shd w:val="clear" w:color="auto" w:fill="auto"/>
            <w:noWrap/>
            <w:vAlign w:val="bottom"/>
            <w:hideMark/>
          </w:tcPr>
          <w:p w14:paraId="0AE83D7B"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4.60 </w:t>
            </w:r>
          </w:p>
        </w:tc>
        <w:tc>
          <w:tcPr>
            <w:tcW w:w="1556" w:type="dxa"/>
            <w:tcBorders>
              <w:top w:val="nil"/>
              <w:left w:val="nil"/>
              <w:bottom w:val="nil"/>
              <w:right w:val="nil"/>
            </w:tcBorders>
            <w:shd w:val="clear" w:color="auto" w:fill="auto"/>
            <w:noWrap/>
            <w:vAlign w:val="bottom"/>
            <w:hideMark/>
          </w:tcPr>
          <w:p w14:paraId="0A8B4492"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5.10 </w:t>
            </w:r>
          </w:p>
        </w:tc>
        <w:tc>
          <w:tcPr>
            <w:tcW w:w="1476" w:type="dxa"/>
            <w:tcBorders>
              <w:top w:val="nil"/>
              <w:left w:val="nil"/>
              <w:bottom w:val="nil"/>
              <w:right w:val="nil"/>
            </w:tcBorders>
            <w:shd w:val="clear" w:color="auto" w:fill="auto"/>
            <w:noWrap/>
            <w:vAlign w:val="bottom"/>
            <w:hideMark/>
          </w:tcPr>
          <w:p w14:paraId="1BD240F3"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0.5 </w:t>
            </w:r>
          </w:p>
        </w:tc>
        <w:tc>
          <w:tcPr>
            <w:tcW w:w="1236" w:type="dxa"/>
            <w:tcBorders>
              <w:top w:val="nil"/>
              <w:left w:val="nil"/>
              <w:bottom w:val="nil"/>
              <w:right w:val="nil"/>
            </w:tcBorders>
            <w:shd w:val="clear" w:color="auto" w:fill="auto"/>
            <w:noWrap/>
            <w:vAlign w:val="bottom"/>
            <w:hideMark/>
          </w:tcPr>
          <w:p w14:paraId="6C126EAF" w14:textId="77777777" w:rsidR="008447F2" w:rsidRPr="008447F2" w:rsidRDefault="008447F2" w:rsidP="008447F2">
            <w:pPr>
              <w:jc w:val="right"/>
              <w:rPr>
                <w:rFonts w:ascii="Arial" w:hAnsi="Arial" w:cs="Arial"/>
                <w:color w:val="000000" w:themeColor="text1"/>
                <w:sz w:val="18"/>
                <w:szCs w:val="18"/>
              </w:rPr>
            </w:pPr>
            <w:r w:rsidRPr="008447F2">
              <w:rPr>
                <w:rFonts w:ascii="Arial" w:hAnsi="Arial" w:cs="Arial"/>
                <w:color w:val="000000" w:themeColor="text1"/>
                <w:sz w:val="18"/>
                <w:szCs w:val="18"/>
              </w:rPr>
              <w:t>10%</w:t>
            </w:r>
          </w:p>
        </w:tc>
      </w:tr>
      <w:tr w:rsidR="008447F2" w:rsidRPr="008447F2" w14:paraId="6FB715DB" w14:textId="77777777" w:rsidTr="008447F2">
        <w:trPr>
          <w:trHeight w:val="255"/>
        </w:trPr>
        <w:tc>
          <w:tcPr>
            <w:tcW w:w="3596" w:type="dxa"/>
            <w:tcBorders>
              <w:top w:val="nil"/>
              <w:left w:val="nil"/>
              <w:bottom w:val="nil"/>
              <w:right w:val="nil"/>
            </w:tcBorders>
            <w:shd w:val="clear" w:color="auto" w:fill="auto"/>
            <w:noWrap/>
            <w:vAlign w:val="bottom"/>
            <w:hideMark/>
          </w:tcPr>
          <w:p w14:paraId="51A021B3"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Max Month Wet Weather Flow</w:t>
            </w:r>
          </w:p>
        </w:tc>
        <w:tc>
          <w:tcPr>
            <w:tcW w:w="1396" w:type="dxa"/>
            <w:tcBorders>
              <w:top w:val="nil"/>
              <w:left w:val="nil"/>
              <w:bottom w:val="nil"/>
              <w:right w:val="nil"/>
            </w:tcBorders>
            <w:shd w:val="clear" w:color="auto" w:fill="auto"/>
            <w:noWrap/>
            <w:vAlign w:val="bottom"/>
            <w:hideMark/>
          </w:tcPr>
          <w:p w14:paraId="0739A633"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1.10 </w:t>
            </w:r>
          </w:p>
        </w:tc>
        <w:tc>
          <w:tcPr>
            <w:tcW w:w="1556" w:type="dxa"/>
            <w:tcBorders>
              <w:top w:val="nil"/>
              <w:left w:val="nil"/>
              <w:bottom w:val="nil"/>
              <w:right w:val="nil"/>
            </w:tcBorders>
            <w:shd w:val="clear" w:color="auto" w:fill="auto"/>
            <w:noWrap/>
            <w:vAlign w:val="bottom"/>
            <w:hideMark/>
          </w:tcPr>
          <w:p w14:paraId="49A9A1A8"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1.32 </w:t>
            </w:r>
          </w:p>
        </w:tc>
        <w:tc>
          <w:tcPr>
            <w:tcW w:w="1476" w:type="dxa"/>
            <w:tcBorders>
              <w:top w:val="nil"/>
              <w:left w:val="nil"/>
              <w:bottom w:val="nil"/>
              <w:right w:val="nil"/>
            </w:tcBorders>
            <w:shd w:val="clear" w:color="auto" w:fill="auto"/>
            <w:noWrap/>
            <w:vAlign w:val="bottom"/>
            <w:hideMark/>
          </w:tcPr>
          <w:p w14:paraId="0BAB8D8A"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0.2 </w:t>
            </w:r>
          </w:p>
        </w:tc>
        <w:tc>
          <w:tcPr>
            <w:tcW w:w="1236" w:type="dxa"/>
            <w:tcBorders>
              <w:top w:val="nil"/>
              <w:left w:val="nil"/>
              <w:bottom w:val="nil"/>
              <w:right w:val="nil"/>
            </w:tcBorders>
            <w:shd w:val="clear" w:color="auto" w:fill="auto"/>
            <w:noWrap/>
            <w:vAlign w:val="bottom"/>
            <w:hideMark/>
          </w:tcPr>
          <w:p w14:paraId="4F61A300" w14:textId="77777777" w:rsidR="008447F2" w:rsidRPr="008447F2" w:rsidRDefault="008447F2" w:rsidP="008447F2">
            <w:pPr>
              <w:jc w:val="right"/>
              <w:rPr>
                <w:rFonts w:ascii="Arial" w:hAnsi="Arial" w:cs="Arial"/>
                <w:color w:val="000000" w:themeColor="text1"/>
                <w:sz w:val="18"/>
                <w:szCs w:val="18"/>
              </w:rPr>
            </w:pPr>
            <w:r w:rsidRPr="008447F2">
              <w:rPr>
                <w:rFonts w:ascii="Arial" w:hAnsi="Arial" w:cs="Arial"/>
                <w:color w:val="000000" w:themeColor="text1"/>
                <w:sz w:val="18"/>
                <w:szCs w:val="18"/>
              </w:rPr>
              <w:t>17%</w:t>
            </w:r>
          </w:p>
        </w:tc>
      </w:tr>
      <w:tr w:rsidR="008447F2" w:rsidRPr="008447F2" w14:paraId="23247EF6" w14:textId="77777777" w:rsidTr="008447F2">
        <w:trPr>
          <w:trHeight w:val="255"/>
        </w:trPr>
        <w:tc>
          <w:tcPr>
            <w:tcW w:w="3596" w:type="dxa"/>
            <w:tcBorders>
              <w:top w:val="nil"/>
              <w:left w:val="nil"/>
              <w:bottom w:val="nil"/>
              <w:right w:val="nil"/>
            </w:tcBorders>
            <w:shd w:val="clear" w:color="auto" w:fill="auto"/>
            <w:noWrap/>
            <w:vAlign w:val="bottom"/>
            <w:hideMark/>
          </w:tcPr>
          <w:p w14:paraId="5DCE711C"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Max Month Dry Weather Flow</w:t>
            </w:r>
          </w:p>
        </w:tc>
        <w:tc>
          <w:tcPr>
            <w:tcW w:w="1396" w:type="dxa"/>
            <w:tcBorders>
              <w:top w:val="nil"/>
              <w:left w:val="nil"/>
              <w:bottom w:val="nil"/>
              <w:right w:val="nil"/>
            </w:tcBorders>
            <w:shd w:val="clear" w:color="auto" w:fill="auto"/>
            <w:noWrap/>
            <w:vAlign w:val="bottom"/>
            <w:hideMark/>
          </w:tcPr>
          <w:p w14:paraId="53D6376E"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0.41 </w:t>
            </w:r>
          </w:p>
        </w:tc>
        <w:tc>
          <w:tcPr>
            <w:tcW w:w="1556" w:type="dxa"/>
            <w:tcBorders>
              <w:top w:val="nil"/>
              <w:left w:val="nil"/>
              <w:bottom w:val="nil"/>
              <w:right w:val="nil"/>
            </w:tcBorders>
            <w:shd w:val="clear" w:color="auto" w:fill="auto"/>
            <w:noWrap/>
            <w:vAlign w:val="bottom"/>
            <w:hideMark/>
          </w:tcPr>
          <w:p w14:paraId="5C196541"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0.61 </w:t>
            </w:r>
          </w:p>
        </w:tc>
        <w:tc>
          <w:tcPr>
            <w:tcW w:w="1476" w:type="dxa"/>
            <w:tcBorders>
              <w:top w:val="nil"/>
              <w:left w:val="nil"/>
              <w:bottom w:val="nil"/>
              <w:right w:val="nil"/>
            </w:tcBorders>
            <w:shd w:val="clear" w:color="auto" w:fill="auto"/>
            <w:noWrap/>
            <w:vAlign w:val="bottom"/>
            <w:hideMark/>
          </w:tcPr>
          <w:p w14:paraId="554E56D6"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0.2 </w:t>
            </w:r>
          </w:p>
        </w:tc>
        <w:tc>
          <w:tcPr>
            <w:tcW w:w="1236" w:type="dxa"/>
            <w:tcBorders>
              <w:top w:val="nil"/>
              <w:left w:val="nil"/>
              <w:bottom w:val="nil"/>
              <w:right w:val="nil"/>
            </w:tcBorders>
            <w:shd w:val="clear" w:color="auto" w:fill="auto"/>
            <w:noWrap/>
            <w:vAlign w:val="bottom"/>
            <w:hideMark/>
          </w:tcPr>
          <w:p w14:paraId="396642FC" w14:textId="77777777" w:rsidR="008447F2" w:rsidRPr="008447F2" w:rsidRDefault="008447F2" w:rsidP="008447F2">
            <w:pPr>
              <w:jc w:val="right"/>
              <w:rPr>
                <w:rFonts w:ascii="Arial" w:hAnsi="Arial" w:cs="Arial"/>
                <w:color w:val="000000" w:themeColor="text1"/>
                <w:sz w:val="18"/>
                <w:szCs w:val="18"/>
              </w:rPr>
            </w:pPr>
            <w:r w:rsidRPr="008447F2">
              <w:rPr>
                <w:rFonts w:ascii="Arial" w:hAnsi="Arial" w:cs="Arial"/>
                <w:color w:val="000000" w:themeColor="text1"/>
                <w:sz w:val="18"/>
                <w:szCs w:val="18"/>
              </w:rPr>
              <w:t>33%</w:t>
            </w:r>
          </w:p>
        </w:tc>
      </w:tr>
      <w:tr w:rsidR="008447F2" w:rsidRPr="008447F2" w14:paraId="23688E90" w14:textId="77777777" w:rsidTr="009F7530">
        <w:trPr>
          <w:trHeight w:val="117"/>
        </w:trPr>
        <w:tc>
          <w:tcPr>
            <w:tcW w:w="3596" w:type="dxa"/>
            <w:tcBorders>
              <w:top w:val="nil"/>
              <w:left w:val="nil"/>
              <w:bottom w:val="nil"/>
              <w:right w:val="nil"/>
            </w:tcBorders>
            <w:shd w:val="clear" w:color="auto" w:fill="auto"/>
            <w:noWrap/>
            <w:vAlign w:val="bottom"/>
            <w:hideMark/>
          </w:tcPr>
          <w:p w14:paraId="4A276CCC" w14:textId="77777777" w:rsidR="008447F2" w:rsidRPr="008447F2" w:rsidRDefault="008447F2" w:rsidP="008447F2">
            <w:pPr>
              <w:jc w:val="right"/>
              <w:rPr>
                <w:rFonts w:ascii="Arial" w:hAnsi="Arial" w:cs="Arial"/>
                <w:color w:val="000000" w:themeColor="text1"/>
                <w:sz w:val="18"/>
                <w:szCs w:val="18"/>
              </w:rPr>
            </w:pPr>
          </w:p>
        </w:tc>
        <w:tc>
          <w:tcPr>
            <w:tcW w:w="1396" w:type="dxa"/>
            <w:tcBorders>
              <w:top w:val="nil"/>
              <w:left w:val="nil"/>
              <w:bottom w:val="nil"/>
              <w:right w:val="nil"/>
            </w:tcBorders>
            <w:shd w:val="clear" w:color="auto" w:fill="auto"/>
            <w:noWrap/>
            <w:vAlign w:val="bottom"/>
            <w:hideMark/>
          </w:tcPr>
          <w:p w14:paraId="6585A83F" w14:textId="77777777" w:rsidR="008447F2" w:rsidRPr="008447F2" w:rsidRDefault="008447F2" w:rsidP="008447F2">
            <w:pPr>
              <w:rPr>
                <w:rFonts w:ascii="Times New Roman" w:hAnsi="Times New Roman"/>
                <w:color w:val="000000" w:themeColor="text1"/>
                <w:sz w:val="20"/>
              </w:rPr>
            </w:pPr>
          </w:p>
        </w:tc>
        <w:tc>
          <w:tcPr>
            <w:tcW w:w="1556" w:type="dxa"/>
            <w:tcBorders>
              <w:top w:val="nil"/>
              <w:left w:val="nil"/>
              <w:bottom w:val="nil"/>
              <w:right w:val="nil"/>
            </w:tcBorders>
            <w:shd w:val="clear" w:color="auto" w:fill="auto"/>
            <w:noWrap/>
            <w:vAlign w:val="bottom"/>
            <w:hideMark/>
          </w:tcPr>
          <w:p w14:paraId="5394666E" w14:textId="77777777" w:rsidR="008447F2" w:rsidRPr="008447F2" w:rsidRDefault="008447F2" w:rsidP="008447F2">
            <w:pPr>
              <w:rPr>
                <w:rFonts w:ascii="Times New Roman" w:hAnsi="Times New Roman"/>
                <w:color w:val="000000" w:themeColor="text1"/>
                <w:sz w:val="20"/>
              </w:rPr>
            </w:pPr>
          </w:p>
        </w:tc>
        <w:tc>
          <w:tcPr>
            <w:tcW w:w="1476" w:type="dxa"/>
            <w:tcBorders>
              <w:top w:val="nil"/>
              <w:left w:val="nil"/>
              <w:bottom w:val="nil"/>
              <w:right w:val="nil"/>
            </w:tcBorders>
            <w:shd w:val="clear" w:color="auto" w:fill="auto"/>
            <w:noWrap/>
            <w:vAlign w:val="bottom"/>
            <w:hideMark/>
          </w:tcPr>
          <w:p w14:paraId="7F2A793A" w14:textId="77777777" w:rsidR="008447F2" w:rsidRPr="008447F2" w:rsidRDefault="008447F2" w:rsidP="008447F2">
            <w:pPr>
              <w:rPr>
                <w:rFonts w:ascii="Times New Roman" w:hAnsi="Times New Roman"/>
                <w:color w:val="000000" w:themeColor="text1"/>
                <w:sz w:val="20"/>
              </w:rPr>
            </w:pPr>
          </w:p>
        </w:tc>
        <w:tc>
          <w:tcPr>
            <w:tcW w:w="1236" w:type="dxa"/>
            <w:tcBorders>
              <w:top w:val="nil"/>
              <w:left w:val="nil"/>
              <w:bottom w:val="nil"/>
              <w:right w:val="nil"/>
            </w:tcBorders>
            <w:shd w:val="clear" w:color="auto" w:fill="auto"/>
            <w:noWrap/>
            <w:vAlign w:val="bottom"/>
            <w:hideMark/>
          </w:tcPr>
          <w:p w14:paraId="1B799C29" w14:textId="77777777" w:rsidR="008447F2" w:rsidRPr="008447F2" w:rsidRDefault="008447F2" w:rsidP="008447F2">
            <w:pPr>
              <w:rPr>
                <w:rFonts w:ascii="Times New Roman" w:hAnsi="Times New Roman"/>
                <w:color w:val="000000" w:themeColor="text1"/>
                <w:sz w:val="20"/>
              </w:rPr>
            </w:pPr>
          </w:p>
        </w:tc>
      </w:tr>
      <w:tr w:rsidR="008447F2" w:rsidRPr="008447F2" w14:paraId="5A8BD47E" w14:textId="77777777" w:rsidTr="008447F2">
        <w:trPr>
          <w:trHeight w:val="255"/>
        </w:trPr>
        <w:tc>
          <w:tcPr>
            <w:tcW w:w="3596" w:type="dxa"/>
            <w:tcBorders>
              <w:top w:val="nil"/>
              <w:left w:val="nil"/>
              <w:bottom w:val="nil"/>
              <w:right w:val="nil"/>
            </w:tcBorders>
            <w:shd w:val="clear" w:color="auto" w:fill="auto"/>
            <w:noWrap/>
            <w:vAlign w:val="bottom"/>
            <w:hideMark/>
          </w:tcPr>
          <w:p w14:paraId="7D31F098"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Lagoon Aeration</w:t>
            </w:r>
          </w:p>
        </w:tc>
        <w:tc>
          <w:tcPr>
            <w:tcW w:w="1396" w:type="dxa"/>
            <w:tcBorders>
              <w:top w:val="nil"/>
              <w:left w:val="nil"/>
              <w:bottom w:val="nil"/>
              <w:right w:val="nil"/>
            </w:tcBorders>
            <w:shd w:val="clear" w:color="auto" w:fill="auto"/>
            <w:noWrap/>
            <w:vAlign w:val="bottom"/>
            <w:hideMark/>
          </w:tcPr>
          <w:p w14:paraId="7FE7DF97"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36.80 </w:t>
            </w:r>
          </w:p>
        </w:tc>
        <w:tc>
          <w:tcPr>
            <w:tcW w:w="1556" w:type="dxa"/>
            <w:tcBorders>
              <w:top w:val="nil"/>
              <w:left w:val="nil"/>
              <w:bottom w:val="nil"/>
              <w:right w:val="nil"/>
            </w:tcBorders>
            <w:shd w:val="clear" w:color="auto" w:fill="auto"/>
            <w:noWrap/>
            <w:vAlign w:val="bottom"/>
            <w:hideMark/>
          </w:tcPr>
          <w:p w14:paraId="7D79A51A"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48.80 </w:t>
            </w:r>
          </w:p>
        </w:tc>
        <w:tc>
          <w:tcPr>
            <w:tcW w:w="1476" w:type="dxa"/>
            <w:tcBorders>
              <w:top w:val="nil"/>
              <w:left w:val="nil"/>
              <w:bottom w:val="nil"/>
              <w:right w:val="nil"/>
            </w:tcBorders>
            <w:shd w:val="clear" w:color="auto" w:fill="auto"/>
            <w:noWrap/>
            <w:vAlign w:val="bottom"/>
            <w:hideMark/>
          </w:tcPr>
          <w:p w14:paraId="3EBFE363"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12.0 </w:t>
            </w:r>
          </w:p>
        </w:tc>
        <w:tc>
          <w:tcPr>
            <w:tcW w:w="1236" w:type="dxa"/>
            <w:tcBorders>
              <w:top w:val="nil"/>
              <w:left w:val="nil"/>
              <w:bottom w:val="nil"/>
              <w:right w:val="nil"/>
            </w:tcBorders>
            <w:shd w:val="clear" w:color="auto" w:fill="auto"/>
            <w:noWrap/>
            <w:vAlign w:val="bottom"/>
            <w:hideMark/>
          </w:tcPr>
          <w:p w14:paraId="62831A10" w14:textId="77777777" w:rsidR="008447F2" w:rsidRPr="008447F2" w:rsidRDefault="008447F2" w:rsidP="008447F2">
            <w:pPr>
              <w:jc w:val="right"/>
              <w:rPr>
                <w:rFonts w:ascii="Arial" w:hAnsi="Arial" w:cs="Arial"/>
                <w:color w:val="000000" w:themeColor="text1"/>
                <w:sz w:val="18"/>
                <w:szCs w:val="18"/>
              </w:rPr>
            </w:pPr>
            <w:r w:rsidRPr="008447F2">
              <w:rPr>
                <w:rFonts w:ascii="Arial" w:hAnsi="Arial" w:cs="Arial"/>
                <w:color w:val="000000" w:themeColor="text1"/>
                <w:sz w:val="18"/>
                <w:szCs w:val="18"/>
              </w:rPr>
              <w:t>25%</w:t>
            </w:r>
          </w:p>
        </w:tc>
      </w:tr>
      <w:tr w:rsidR="008447F2" w:rsidRPr="008447F2" w14:paraId="74431973" w14:textId="77777777" w:rsidTr="008447F2">
        <w:trPr>
          <w:trHeight w:val="255"/>
        </w:trPr>
        <w:tc>
          <w:tcPr>
            <w:tcW w:w="3596" w:type="dxa"/>
            <w:tcBorders>
              <w:top w:val="nil"/>
              <w:left w:val="nil"/>
              <w:bottom w:val="nil"/>
              <w:right w:val="nil"/>
            </w:tcBorders>
            <w:shd w:val="clear" w:color="auto" w:fill="auto"/>
            <w:noWrap/>
            <w:vAlign w:val="bottom"/>
            <w:hideMark/>
          </w:tcPr>
          <w:p w14:paraId="4163C934"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Lagoon Volume</w:t>
            </w:r>
          </w:p>
        </w:tc>
        <w:tc>
          <w:tcPr>
            <w:tcW w:w="1396" w:type="dxa"/>
            <w:tcBorders>
              <w:top w:val="nil"/>
              <w:left w:val="nil"/>
              <w:bottom w:val="nil"/>
              <w:right w:val="nil"/>
            </w:tcBorders>
            <w:shd w:val="clear" w:color="auto" w:fill="auto"/>
            <w:noWrap/>
            <w:vAlign w:val="bottom"/>
            <w:hideMark/>
          </w:tcPr>
          <w:p w14:paraId="2C2AAB28"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61.00 </w:t>
            </w:r>
          </w:p>
        </w:tc>
        <w:tc>
          <w:tcPr>
            <w:tcW w:w="1556" w:type="dxa"/>
            <w:tcBorders>
              <w:top w:val="nil"/>
              <w:left w:val="nil"/>
              <w:bottom w:val="nil"/>
              <w:right w:val="nil"/>
            </w:tcBorders>
            <w:shd w:val="clear" w:color="auto" w:fill="auto"/>
            <w:noWrap/>
            <w:vAlign w:val="bottom"/>
            <w:hideMark/>
          </w:tcPr>
          <w:p w14:paraId="7BF4DA25"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90.00 </w:t>
            </w:r>
          </w:p>
        </w:tc>
        <w:tc>
          <w:tcPr>
            <w:tcW w:w="1476" w:type="dxa"/>
            <w:tcBorders>
              <w:top w:val="nil"/>
              <w:left w:val="nil"/>
              <w:bottom w:val="nil"/>
              <w:right w:val="nil"/>
            </w:tcBorders>
            <w:shd w:val="clear" w:color="auto" w:fill="auto"/>
            <w:noWrap/>
            <w:vAlign w:val="bottom"/>
            <w:hideMark/>
          </w:tcPr>
          <w:p w14:paraId="7B61BB9E"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29.0 </w:t>
            </w:r>
          </w:p>
        </w:tc>
        <w:tc>
          <w:tcPr>
            <w:tcW w:w="1236" w:type="dxa"/>
            <w:tcBorders>
              <w:top w:val="nil"/>
              <w:left w:val="nil"/>
              <w:bottom w:val="nil"/>
              <w:right w:val="nil"/>
            </w:tcBorders>
            <w:shd w:val="clear" w:color="auto" w:fill="auto"/>
            <w:noWrap/>
            <w:vAlign w:val="bottom"/>
            <w:hideMark/>
          </w:tcPr>
          <w:p w14:paraId="6F67981A" w14:textId="77777777" w:rsidR="008447F2" w:rsidRPr="008447F2" w:rsidRDefault="008447F2" w:rsidP="008447F2">
            <w:pPr>
              <w:jc w:val="right"/>
              <w:rPr>
                <w:rFonts w:ascii="Arial" w:hAnsi="Arial" w:cs="Arial"/>
                <w:color w:val="000000" w:themeColor="text1"/>
                <w:sz w:val="18"/>
                <w:szCs w:val="18"/>
              </w:rPr>
            </w:pPr>
            <w:r w:rsidRPr="008447F2">
              <w:rPr>
                <w:rFonts w:ascii="Arial" w:hAnsi="Arial" w:cs="Arial"/>
                <w:color w:val="000000" w:themeColor="text1"/>
                <w:sz w:val="18"/>
                <w:szCs w:val="18"/>
              </w:rPr>
              <w:t>32%</w:t>
            </w:r>
          </w:p>
        </w:tc>
      </w:tr>
      <w:tr w:rsidR="008447F2" w:rsidRPr="008447F2" w14:paraId="3DD9BFD1" w14:textId="77777777" w:rsidTr="008447F2">
        <w:trPr>
          <w:trHeight w:val="255"/>
        </w:trPr>
        <w:tc>
          <w:tcPr>
            <w:tcW w:w="3596" w:type="dxa"/>
            <w:tcBorders>
              <w:top w:val="nil"/>
              <w:left w:val="nil"/>
              <w:bottom w:val="single" w:sz="4" w:space="0" w:color="auto"/>
              <w:right w:val="nil"/>
            </w:tcBorders>
            <w:shd w:val="clear" w:color="auto" w:fill="auto"/>
            <w:noWrap/>
            <w:vAlign w:val="bottom"/>
            <w:hideMark/>
          </w:tcPr>
          <w:p w14:paraId="58D2D1A8" w14:textId="77777777"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Hawn Creek Pump Station (mgd)</w:t>
            </w:r>
          </w:p>
        </w:tc>
        <w:tc>
          <w:tcPr>
            <w:tcW w:w="1396" w:type="dxa"/>
            <w:tcBorders>
              <w:top w:val="nil"/>
              <w:left w:val="nil"/>
              <w:bottom w:val="single" w:sz="4" w:space="0" w:color="auto"/>
              <w:right w:val="nil"/>
            </w:tcBorders>
            <w:shd w:val="clear" w:color="auto" w:fill="auto"/>
            <w:noWrap/>
            <w:vAlign w:val="bottom"/>
            <w:hideMark/>
          </w:tcPr>
          <w:p w14:paraId="2AC1F7C5" w14:textId="63807D78" w:rsidR="008447F2" w:rsidRPr="008447F2" w:rsidRDefault="008447F2" w:rsidP="00D9683B">
            <w:pPr>
              <w:rPr>
                <w:rFonts w:ascii="Arial" w:hAnsi="Arial" w:cs="Arial"/>
                <w:color w:val="000000" w:themeColor="text1"/>
                <w:sz w:val="18"/>
                <w:szCs w:val="18"/>
              </w:rPr>
            </w:pPr>
            <w:r w:rsidRPr="008447F2">
              <w:rPr>
                <w:rFonts w:ascii="Arial" w:hAnsi="Arial" w:cs="Arial"/>
                <w:color w:val="000000" w:themeColor="text1"/>
                <w:sz w:val="18"/>
                <w:szCs w:val="18"/>
              </w:rPr>
              <w:t xml:space="preserve">              1.7 </w:t>
            </w:r>
          </w:p>
        </w:tc>
        <w:tc>
          <w:tcPr>
            <w:tcW w:w="1556" w:type="dxa"/>
            <w:tcBorders>
              <w:top w:val="nil"/>
              <w:left w:val="nil"/>
              <w:bottom w:val="single" w:sz="4" w:space="0" w:color="auto"/>
              <w:right w:val="nil"/>
            </w:tcBorders>
            <w:shd w:val="clear" w:color="auto" w:fill="auto"/>
            <w:noWrap/>
            <w:vAlign w:val="bottom"/>
            <w:hideMark/>
          </w:tcPr>
          <w:p w14:paraId="6E4AFCF5" w14:textId="34E8C179" w:rsidR="008447F2" w:rsidRPr="008447F2" w:rsidRDefault="008447F2" w:rsidP="008447F2">
            <w:pPr>
              <w:rPr>
                <w:rFonts w:ascii="Arial" w:hAnsi="Arial" w:cs="Arial"/>
                <w:color w:val="000000" w:themeColor="text1"/>
                <w:sz w:val="18"/>
                <w:szCs w:val="18"/>
              </w:rPr>
            </w:pPr>
            <w:r w:rsidRPr="008447F2">
              <w:rPr>
                <w:rFonts w:ascii="Arial" w:hAnsi="Arial" w:cs="Arial"/>
                <w:color w:val="000000" w:themeColor="text1"/>
                <w:sz w:val="18"/>
                <w:szCs w:val="18"/>
              </w:rPr>
              <w:t xml:space="preserve">                 </w:t>
            </w:r>
            <w:r w:rsidR="00D9683B">
              <w:rPr>
                <w:rFonts w:ascii="Arial" w:hAnsi="Arial" w:cs="Arial"/>
                <w:color w:val="000000" w:themeColor="text1"/>
                <w:sz w:val="18"/>
                <w:szCs w:val="18"/>
              </w:rPr>
              <w:t>2.3</w:t>
            </w:r>
          </w:p>
        </w:tc>
        <w:tc>
          <w:tcPr>
            <w:tcW w:w="1476" w:type="dxa"/>
            <w:tcBorders>
              <w:top w:val="nil"/>
              <w:left w:val="nil"/>
              <w:bottom w:val="single" w:sz="4" w:space="0" w:color="auto"/>
              <w:right w:val="nil"/>
            </w:tcBorders>
            <w:shd w:val="clear" w:color="auto" w:fill="auto"/>
            <w:noWrap/>
            <w:vAlign w:val="bottom"/>
            <w:hideMark/>
          </w:tcPr>
          <w:p w14:paraId="4DD72C47" w14:textId="30DD2231" w:rsidR="008447F2" w:rsidRPr="008447F2" w:rsidRDefault="008447F2" w:rsidP="00D9683B">
            <w:pPr>
              <w:rPr>
                <w:rFonts w:ascii="Arial" w:hAnsi="Arial" w:cs="Arial"/>
                <w:color w:val="000000" w:themeColor="text1"/>
                <w:sz w:val="18"/>
                <w:szCs w:val="18"/>
              </w:rPr>
            </w:pPr>
            <w:r w:rsidRPr="008447F2">
              <w:rPr>
                <w:rFonts w:ascii="Arial" w:hAnsi="Arial" w:cs="Arial"/>
                <w:color w:val="000000" w:themeColor="text1"/>
                <w:sz w:val="18"/>
                <w:szCs w:val="18"/>
              </w:rPr>
              <w:t xml:space="preserve">                 0.</w:t>
            </w:r>
            <w:r w:rsidR="00D9683B">
              <w:rPr>
                <w:rFonts w:ascii="Arial" w:hAnsi="Arial" w:cs="Arial"/>
                <w:color w:val="000000" w:themeColor="text1"/>
                <w:sz w:val="18"/>
                <w:szCs w:val="18"/>
              </w:rPr>
              <w:t>6</w:t>
            </w:r>
          </w:p>
        </w:tc>
        <w:tc>
          <w:tcPr>
            <w:tcW w:w="1236" w:type="dxa"/>
            <w:tcBorders>
              <w:top w:val="nil"/>
              <w:left w:val="nil"/>
              <w:bottom w:val="single" w:sz="4" w:space="0" w:color="auto"/>
              <w:right w:val="nil"/>
            </w:tcBorders>
            <w:shd w:val="clear" w:color="auto" w:fill="auto"/>
            <w:noWrap/>
            <w:vAlign w:val="bottom"/>
            <w:hideMark/>
          </w:tcPr>
          <w:p w14:paraId="52CA8193" w14:textId="7C0FB910" w:rsidR="008447F2" w:rsidRPr="008447F2" w:rsidRDefault="00D9683B" w:rsidP="008447F2">
            <w:pPr>
              <w:jc w:val="right"/>
              <w:rPr>
                <w:rFonts w:ascii="Arial" w:hAnsi="Arial" w:cs="Arial"/>
                <w:color w:val="000000" w:themeColor="text1"/>
                <w:sz w:val="18"/>
                <w:szCs w:val="18"/>
              </w:rPr>
            </w:pPr>
            <w:r>
              <w:rPr>
                <w:rFonts w:ascii="Arial" w:hAnsi="Arial" w:cs="Arial"/>
                <w:color w:val="000000" w:themeColor="text1"/>
                <w:sz w:val="18"/>
                <w:szCs w:val="18"/>
              </w:rPr>
              <w:t>27</w:t>
            </w:r>
            <w:r w:rsidR="008447F2" w:rsidRPr="008447F2">
              <w:rPr>
                <w:rFonts w:ascii="Arial" w:hAnsi="Arial" w:cs="Arial"/>
                <w:color w:val="000000" w:themeColor="text1"/>
                <w:sz w:val="18"/>
                <w:szCs w:val="18"/>
              </w:rPr>
              <w:t>%</w:t>
            </w:r>
          </w:p>
        </w:tc>
      </w:tr>
      <w:tr w:rsidR="00184E41" w:rsidRPr="008447F2" w14:paraId="617DA3F1" w14:textId="77777777" w:rsidTr="00DA7134">
        <w:trPr>
          <w:trHeight w:val="255"/>
        </w:trPr>
        <w:tc>
          <w:tcPr>
            <w:tcW w:w="9260" w:type="dxa"/>
            <w:gridSpan w:val="5"/>
            <w:tcBorders>
              <w:top w:val="nil"/>
              <w:left w:val="nil"/>
              <w:bottom w:val="nil"/>
              <w:right w:val="nil"/>
            </w:tcBorders>
            <w:shd w:val="clear" w:color="auto" w:fill="auto"/>
            <w:noWrap/>
            <w:vAlign w:val="bottom"/>
          </w:tcPr>
          <w:p w14:paraId="6D5142D4" w14:textId="7BF4EF09" w:rsidR="00184E41" w:rsidRPr="008447F2" w:rsidRDefault="00DA7134" w:rsidP="00184E41">
            <w:pPr>
              <w:rPr>
                <w:rFonts w:ascii="Arial" w:hAnsi="Arial" w:cs="Arial"/>
                <w:color w:val="000000" w:themeColor="text1"/>
                <w:sz w:val="18"/>
                <w:szCs w:val="18"/>
              </w:rPr>
            </w:pPr>
            <w:r w:rsidRPr="00DA7134">
              <w:rPr>
                <w:rFonts w:ascii="Arial" w:hAnsi="Arial" w:cs="Arial"/>
                <w:color w:val="000000" w:themeColor="text1"/>
                <w:sz w:val="18"/>
                <w:szCs w:val="18"/>
                <w:vertAlign w:val="superscript"/>
              </w:rPr>
              <w:t>1</w:t>
            </w:r>
            <w:r w:rsidR="00184E41" w:rsidRPr="008447F2">
              <w:rPr>
                <w:rFonts w:ascii="Arial" w:hAnsi="Arial" w:cs="Arial"/>
                <w:color w:val="000000" w:themeColor="text1"/>
                <w:sz w:val="18"/>
                <w:szCs w:val="18"/>
              </w:rPr>
              <w:t>City of Ca</w:t>
            </w:r>
            <w:r w:rsidR="00BF64D2">
              <w:rPr>
                <w:rFonts w:ascii="Arial" w:hAnsi="Arial" w:cs="Arial"/>
                <w:color w:val="000000" w:themeColor="text1"/>
                <w:sz w:val="18"/>
                <w:szCs w:val="18"/>
              </w:rPr>
              <w:t>rlton Wastewater Facilities Plan</w:t>
            </w:r>
          </w:p>
        </w:tc>
      </w:tr>
      <w:tr w:rsidR="00DA7134" w:rsidRPr="008447F2" w14:paraId="5167229C" w14:textId="77777777" w:rsidTr="00DA7134">
        <w:trPr>
          <w:trHeight w:val="255"/>
        </w:trPr>
        <w:tc>
          <w:tcPr>
            <w:tcW w:w="9260" w:type="dxa"/>
            <w:gridSpan w:val="5"/>
            <w:tcBorders>
              <w:top w:val="nil"/>
              <w:left w:val="nil"/>
              <w:bottom w:val="nil"/>
              <w:right w:val="nil"/>
            </w:tcBorders>
            <w:shd w:val="clear" w:color="auto" w:fill="auto"/>
            <w:noWrap/>
            <w:vAlign w:val="bottom"/>
          </w:tcPr>
          <w:p w14:paraId="2749B310" w14:textId="0F773BC4" w:rsidR="00DA7134" w:rsidRPr="00DA7134" w:rsidRDefault="00DA7134" w:rsidP="00184E41">
            <w:pPr>
              <w:rPr>
                <w:rFonts w:ascii="Arial" w:hAnsi="Arial" w:cs="Arial"/>
                <w:color w:val="000000" w:themeColor="text1"/>
                <w:sz w:val="18"/>
                <w:szCs w:val="18"/>
              </w:rPr>
            </w:pPr>
            <w:r>
              <w:rPr>
                <w:rFonts w:ascii="Arial" w:hAnsi="Arial" w:cs="Arial"/>
                <w:color w:val="000000" w:themeColor="text1"/>
                <w:sz w:val="18"/>
                <w:szCs w:val="18"/>
                <w:vertAlign w:val="superscript"/>
              </w:rPr>
              <w:t>2</w:t>
            </w:r>
            <w:r>
              <w:rPr>
                <w:rFonts w:ascii="Arial" w:hAnsi="Arial" w:cs="Arial"/>
                <w:color w:val="000000" w:themeColor="text1"/>
                <w:sz w:val="18"/>
                <w:szCs w:val="18"/>
              </w:rPr>
              <w:t>Current based on current number of meters by meter size; future projected based on growth in population.</w:t>
            </w:r>
          </w:p>
        </w:tc>
      </w:tr>
      <w:tr w:rsidR="00DA7134" w:rsidRPr="008447F2" w14:paraId="4C0B3DB6" w14:textId="77777777" w:rsidTr="00DE6E66">
        <w:trPr>
          <w:trHeight w:val="255"/>
        </w:trPr>
        <w:tc>
          <w:tcPr>
            <w:tcW w:w="9260" w:type="dxa"/>
            <w:gridSpan w:val="5"/>
            <w:tcBorders>
              <w:top w:val="nil"/>
              <w:left w:val="nil"/>
              <w:bottom w:val="single" w:sz="4" w:space="0" w:color="auto"/>
              <w:right w:val="nil"/>
            </w:tcBorders>
            <w:shd w:val="clear" w:color="auto" w:fill="auto"/>
            <w:noWrap/>
            <w:vAlign w:val="bottom"/>
          </w:tcPr>
          <w:p w14:paraId="63C307B3" w14:textId="382BEAFD" w:rsidR="00DA7134" w:rsidRPr="00DA7134" w:rsidRDefault="00DA7134" w:rsidP="00184E41">
            <w:pPr>
              <w:rPr>
                <w:rFonts w:ascii="Arial" w:hAnsi="Arial" w:cs="Arial"/>
                <w:color w:val="000000" w:themeColor="text1"/>
                <w:sz w:val="18"/>
                <w:szCs w:val="18"/>
              </w:rPr>
            </w:pPr>
            <w:r>
              <w:rPr>
                <w:rFonts w:ascii="Arial" w:hAnsi="Arial" w:cs="Arial"/>
                <w:color w:val="000000" w:themeColor="text1"/>
                <w:sz w:val="18"/>
                <w:szCs w:val="18"/>
                <w:vertAlign w:val="superscript"/>
              </w:rPr>
              <w:t>3</w:t>
            </w:r>
            <w:r w:rsidRPr="00DA7134">
              <w:rPr>
                <w:rFonts w:ascii="Arial" w:hAnsi="Arial" w:cs="Arial"/>
                <w:color w:val="000000" w:themeColor="text1"/>
                <w:sz w:val="18"/>
                <w:szCs w:val="18"/>
              </w:rPr>
              <w:t xml:space="preserve">Pump Station </w:t>
            </w:r>
            <w:proofErr w:type="spellStart"/>
            <w:r w:rsidRPr="00DA7134">
              <w:rPr>
                <w:rFonts w:ascii="Arial" w:hAnsi="Arial" w:cs="Arial"/>
                <w:color w:val="000000" w:themeColor="text1"/>
                <w:sz w:val="18"/>
                <w:szCs w:val="18"/>
              </w:rPr>
              <w:t>Eveluation</w:t>
            </w:r>
            <w:proofErr w:type="spellEnd"/>
            <w:r w:rsidRPr="00DA7134">
              <w:rPr>
                <w:rFonts w:ascii="Arial" w:hAnsi="Arial" w:cs="Arial"/>
                <w:color w:val="000000" w:themeColor="text1"/>
                <w:sz w:val="18"/>
                <w:szCs w:val="18"/>
              </w:rPr>
              <w:t xml:space="preserve"> Memo - DRAFT (Tetra Tech, February 14, 2020)</w:t>
            </w:r>
          </w:p>
        </w:tc>
      </w:tr>
    </w:tbl>
    <w:p w14:paraId="52985176" w14:textId="2AF57BB9" w:rsidR="00350473" w:rsidRDefault="00350473" w:rsidP="00350473">
      <w:pPr>
        <w:spacing w:before="240"/>
      </w:pPr>
      <w:r>
        <w:lastRenderedPageBreak/>
        <w:t>T</w:t>
      </w:r>
      <w:r w:rsidR="00D9683B">
        <w:t>able 1 also includes an</w:t>
      </w:r>
      <w:r>
        <w:t xml:space="preserve"> estimate of current and future Equivalent Residential Units (ERUs)</w:t>
      </w:r>
      <w:r w:rsidR="00D9683B">
        <w:t xml:space="preserve">.  The City assesses SDCs based on the size of a development’s water meter, which is an indicator of future potential wastewater flow.  Therefore, the number of ERUs represent the number of meters of various sizes restated in terms of the capacity equivalency of a 5/8” X ¾” meter which is the typical size for a residential dwelling unit. </w:t>
      </w:r>
      <w:r>
        <w:t xml:space="preserve">  </w:t>
      </w:r>
    </w:p>
    <w:p w14:paraId="63962D8A" w14:textId="77777777" w:rsidR="004F76A3" w:rsidRDefault="00FF7301">
      <w:pPr>
        <w:pStyle w:val="Heading3"/>
        <w:jc w:val="both"/>
      </w:pPr>
      <w:r>
        <w:t>SDC</w:t>
      </w:r>
      <w:r w:rsidR="00D632B6">
        <w:t xml:space="preserve"> Cost Basis</w:t>
      </w:r>
    </w:p>
    <w:p w14:paraId="135E017E" w14:textId="548DAC05" w:rsidR="004F76A3" w:rsidRDefault="00D632B6">
      <w:pPr>
        <w:pStyle w:val="BodyText"/>
        <w:jc w:val="both"/>
      </w:pPr>
      <w:r w:rsidRPr="00AD79C1">
        <w:t xml:space="preserve">The capacity needed to serve new development will be met through a combination of existing available capacity and additional capacity added by planned </w:t>
      </w:r>
      <w:r w:rsidR="00081C68">
        <w:t>i</w:t>
      </w:r>
      <w:r w:rsidRPr="00AD79C1">
        <w:t>mprovements. The reimbursement fee is intended to recover the costs associated with the growth-related (or available) capacity in the existing system; the improvement fee is based on the costs of capacity-increasing future improvements needed to meet the demands of growth. The value of capacity needed to serve growth in aggregate</w:t>
      </w:r>
      <w:r w:rsidR="00B37065">
        <w:t xml:space="preserve"> within the planning period</w:t>
      </w:r>
      <w:r w:rsidRPr="00AD79C1">
        <w:t xml:space="preserve"> is referred to as the “cost basis”.</w:t>
      </w:r>
      <w:r w:rsidR="00B37065">
        <w:t xml:space="preserve">   </w:t>
      </w:r>
    </w:p>
    <w:p w14:paraId="186C0A01" w14:textId="77777777" w:rsidR="004F76A3" w:rsidRDefault="00D632B6">
      <w:pPr>
        <w:pStyle w:val="Heading5"/>
        <w:jc w:val="both"/>
        <w:rPr>
          <w:sz w:val="23"/>
        </w:rPr>
      </w:pPr>
      <w:r>
        <w:rPr>
          <w:sz w:val="23"/>
        </w:rPr>
        <w:t>Reimbursement Fee Cost Basis</w:t>
      </w:r>
    </w:p>
    <w:p w14:paraId="64FE0B43" w14:textId="0987D977" w:rsidR="000C7A89" w:rsidRDefault="007E6E6E" w:rsidP="00B37065">
      <w:pPr>
        <w:pStyle w:val="BodyText"/>
        <w:jc w:val="both"/>
      </w:pPr>
      <w:r w:rsidRPr="00B74E7E">
        <w:t xml:space="preserve">Table </w:t>
      </w:r>
      <w:r w:rsidR="00B37065" w:rsidRPr="00B74E7E">
        <w:t>2</w:t>
      </w:r>
      <w:r w:rsidR="00D632B6" w:rsidRPr="00AD79C1">
        <w:t xml:space="preserve"> </w:t>
      </w:r>
      <w:r w:rsidR="00FF7301">
        <w:t>shows the</w:t>
      </w:r>
      <w:r w:rsidR="000C7A89">
        <w:t xml:space="preserve"> calculation of the reimbursement fee cost basis, which includes a portion of existing collection system trunk lines, and Yamhill and Hawn Creek pump stations.  Collection system trunk line value has been discounted for the portion of pipes to be replaced by system improvements included in the improvement fee (discussed in the following section).  The portion of </w:t>
      </w:r>
      <w:r w:rsidR="00350473">
        <w:t>collection syste</w:t>
      </w:r>
      <w:r w:rsidR="00943C85">
        <w:t>m</w:t>
      </w:r>
      <w:r w:rsidR="00350473">
        <w:t xml:space="preserve"> </w:t>
      </w:r>
      <w:r w:rsidR="000C7A89">
        <w:t xml:space="preserve">costs included in the reimbursement fee reflects growth’s share of future </w:t>
      </w:r>
      <w:r w:rsidR="00350473">
        <w:t xml:space="preserve">ERUs </w:t>
      </w:r>
      <w:r w:rsidR="000C7A89">
        <w:t>(from Table 1)</w:t>
      </w:r>
      <w:r w:rsidR="00350473">
        <w:t>.</w:t>
      </w:r>
    </w:p>
    <w:p w14:paraId="5CE16C5B" w14:textId="5F45FF64" w:rsidR="000C7A89" w:rsidRDefault="000C7A89" w:rsidP="00B37065">
      <w:pPr>
        <w:pStyle w:val="BodyText"/>
        <w:jc w:val="both"/>
      </w:pPr>
      <w:r>
        <w:t xml:space="preserve">The reimbursement fee excludes most of the current </w:t>
      </w:r>
      <w:r w:rsidR="00350473">
        <w:t xml:space="preserve">wastewater </w:t>
      </w:r>
      <w:r>
        <w:t>treatment assets because they are either at capacity (as in the case of the lagoons) or will be replaced by new facilities within the planning period.</w:t>
      </w:r>
      <w:r w:rsidR="00943C85">
        <w:t xml:space="preserve">  The Main (or Yamhill) pump station at the plant does have sufficient capacity, so a portion of costs are included in the reimbursement fee.  The Hawn Creek pump station </w:t>
      </w:r>
      <w:r w:rsidR="009738B7">
        <w:t>is at capacity, and improvements are planned to expand capacity for growth</w:t>
      </w:r>
      <w:r w:rsidR="00943C85">
        <w:t xml:space="preserve"> as </w:t>
      </w:r>
      <w:r w:rsidR="009738B7">
        <w:t>discussed in the following section</w:t>
      </w:r>
      <w:r w:rsidR="00943C85">
        <w:t>.</w:t>
      </w:r>
    </w:p>
    <w:tbl>
      <w:tblPr>
        <w:tblW w:w="9023" w:type="dxa"/>
        <w:tblLook w:val="04A0" w:firstRow="1" w:lastRow="0" w:firstColumn="1" w:lastColumn="0" w:noHBand="0" w:noVBand="1"/>
      </w:tblPr>
      <w:tblGrid>
        <w:gridCol w:w="3939"/>
        <w:gridCol w:w="1318"/>
        <w:gridCol w:w="1318"/>
        <w:gridCol w:w="1224"/>
        <w:gridCol w:w="1224"/>
      </w:tblGrid>
      <w:tr w:rsidR="00923902" w:rsidRPr="00923902" w14:paraId="489EEFE2" w14:textId="77777777" w:rsidTr="00A210F6">
        <w:trPr>
          <w:trHeight w:val="270"/>
        </w:trPr>
        <w:tc>
          <w:tcPr>
            <w:tcW w:w="3939" w:type="dxa"/>
            <w:tcBorders>
              <w:top w:val="nil"/>
              <w:left w:val="nil"/>
              <w:bottom w:val="nil"/>
              <w:right w:val="nil"/>
            </w:tcBorders>
            <w:shd w:val="clear" w:color="auto" w:fill="auto"/>
            <w:noWrap/>
            <w:vAlign w:val="bottom"/>
            <w:hideMark/>
          </w:tcPr>
          <w:p w14:paraId="1F82D3D0" w14:textId="77777777" w:rsidR="00923902" w:rsidRPr="00923902" w:rsidRDefault="00923902" w:rsidP="00923902">
            <w:pPr>
              <w:rPr>
                <w:rFonts w:ascii="Arial" w:hAnsi="Arial" w:cs="Arial"/>
                <w:b/>
                <w:bCs/>
                <w:color w:val="000000" w:themeColor="text1"/>
                <w:sz w:val="18"/>
                <w:szCs w:val="18"/>
              </w:rPr>
            </w:pPr>
            <w:r w:rsidRPr="00923902">
              <w:rPr>
                <w:rFonts w:ascii="Arial" w:hAnsi="Arial" w:cs="Arial"/>
                <w:b/>
                <w:bCs/>
                <w:color w:val="000000" w:themeColor="text1"/>
                <w:sz w:val="18"/>
                <w:szCs w:val="18"/>
              </w:rPr>
              <w:t>Table 2</w:t>
            </w:r>
          </w:p>
        </w:tc>
        <w:tc>
          <w:tcPr>
            <w:tcW w:w="1318" w:type="dxa"/>
            <w:tcBorders>
              <w:top w:val="nil"/>
              <w:left w:val="nil"/>
              <w:bottom w:val="nil"/>
              <w:right w:val="nil"/>
            </w:tcBorders>
            <w:shd w:val="clear" w:color="auto" w:fill="auto"/>
            <w:noWrap/>
            <w:vAlign w:val="bottom"/>
            <w:hideMark/>
          </w:tcPr>
          <w:p w14:paraId="7904830A" w14:textId="77777777" w:rsidR="00923902" w:rsidRPr="00923902" w:rsidRDefault="00923902" w:rsidP="00923902">
            <w:pPr>
              <w:rPr>
                <w:rFonts w:ascii="Arial" w:hAnsi="Arial" w:cs="Arial"/>
                <w:b/>
                <w:bCs/>
                <w:color w:val="000000" w:themeColor="text1"/>
                <w:sz w:val="18"/>
                <w:szCs w:val="18"/>
              </w:rPr>
            </w:pPr>
          </w:p>
        </w:tc>
        <w:tc>
          <w:tcPr>
            <w:tcW w:w="1318" w:type="dxa"/>
            <w:tcBorders>
              <w:top w:val="nil"/>
              <w:left w:val="nil"/>
              <w:bottom w:val="nil"/>
              <w:right w:val="nil"/>
            </w:tcBorders>
            <w:shd w:val="clear" w:color="auto" w:fill="auto"/>
            <w:noWrap/>
            <w:vAlign w:val="bottom"/>
            <w:hideMark/>
          </w:tcPr>
          <w:p w14:paraId="3D24047A"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29CCA140"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2A52E16E" w14:textId="77777777" w:rsidR="00923902" w:rsidRPr="00923902" w:rsidRDefault="00923902" w:rsidP="00923902">
            <w:pPr>
              <w:rPr>
                <w:rFonts w:ascii="Times New Roman" w:hAnsi="Times New Roman"/>
                <w:color w:val="000000" w:themeColor="text1"/>
                <w:sz w:val="20"/>
              </w:rPr>
            </w:pPr>
          </w:p>
        </w:tc>
      </w:tr>
      <w:tr w:rsidR="00923902" w:rsidRPr="00923902" w14:paraId="0E880EA9" w14:textId="77777777" w:rsidTr="00923902">
        <w:trPr>
          <w:trHeight w:val="260"/>
        </w:trPr>
        <w:tc>
          <w:tcPr>
            <w:tcW w:w="3939" w:type="dxa"/>
            <w:tcBorders>
              <w:top w:val="nil"/>
              <w:left w:val="nil"/>
              <w:bottom w:val="nil"/>
              <w:right w:val="nil"/>
            </w:tcBorders>
            <w:shd w:val="clear" w:color="auto" w:fill="auto"/>
            <w:noWrap/>
            <w:vAlign w:val="bottom"/>
            <w:hideMark/>
          </w:tcPr>
          <w:p w14:paraId="7EC13521" w14:textId="77777777" w:rsidR="00923902" w:rsidRPr="00923902" w:rsidRDefault="00923902" w:rsidP="00923902">
            <w:pPr>
              <w:rPr>
                <w:rFonts w:ascii="Arial" w:hAnsi="Arial" w:cs="Arial"/>
                <w:i/>
                <w:iCs/>
                <w:color w:val="000000" w:themeColor="text1"/>
                <w:sz w:val="18"/>
                <w:szCs w:val="18"/>
              </w:rPr>
            </w:pPr>
            <w:r w:rsidRPr="00923902">
              <w:rPr>
                <w:rFonts w:ascii="Arial" w:hAnsi="Arial" w:cs="Arial"/>
                <w:i/>
                <w:iCs/>
                <w:color w:val="000000" w:themeColor="text1"/>
                <w:sz w:val="18"/>
                <w:szCs w:val="18"/>
              </w:rPr>
              <w:t>Reimbursement Fee Cost Basis</w:t>
            </w:r>
          </w:p>
        </w:tc>
        <w:tc>
          <w:tcPr>
            <w:tcW w:w="1318" w:type="dxa"/>
            <w:tcBorders>
              <w:top w:val="nil"/>
              <w:left w:val="nil"/>
              <w:bottom w:val="nil"/>
              <w:right w:val="nil"/>
            </w:tcBorders>
            <w:shd w:val="clear" w:color="auto" w:fill="auto"/>
            <w:noWrap/>
            <w:vAlign w:val="bottom"/>
            <w:hideMark/>
          </w:tcPr>
          <w:p w14:paraId="5520216E" w14:textId="77777777" w:rsidR="00923902" w:rsidRPr="00923902" w:rsidRDefault="00923902" w:rsidP="00923902">
            <w:pPr>
              <w:rPr>
                <w:rFonts w:ascii="Arial" w:hAnsi="Arial" w:cs="Arial"/>
                <w:i/>
                <w:iCs/>
                <w:color w:val="000000" w:themeColor="text1"/>
                <w:sz w:val="18"/>
                <w:szCs w:val="18"/>
              </w:rPr>
            </w:pPr>
          </w:p>
        </w:tc>
        <w:tc>
          <w:tcPr>
            <w:tcW w:w="1318" w:type="dxa"/>
            <w:tcBorders>
              <w:top w:val="nil"/>
              <w:left w:val="nil"/>
              <w:bottom w:val="nil"/>
              <w:right w:val="nil"/>
            </w:tcBorders>
            <w:shd w:val="clear" w:color="auto" w:fill="auto"/>
            <w:noWrap/>
            <w:vAlign w:val="bottom"/>
            <w:hideMark/>
          </w:tcPr>
          <w:p w14:paraId="4CAF6F46"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014CA301"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74161748" w14:textId="77777777" w:rsidR="00923902" w:rsidRPr="00923902" w:rsidRDefault="00923902" w:rsidP="00923902">
            <w:pPr>
              <w:rPr>
                <w:rFonts w:ascii="Times New Roman" w:hAnsi="Times New Roman"/>
                <w:color w:val="000000" w:themeColor="text1"/>
                <w:sz w:val="20"/>
              </w:rPr>
            </w:pPr>
          </w:p>
        </w:tc>
      </w:tr>
      <w:tr w:rsidR="00923902" w:rsidRPr="00923902" w14:paraId="59167959" w14:textId="77777777" w:rsidTr="00923902">
        <w:trPr>
          <w:trHeight w:val="260"/>
        </w:trPr>
        <w:tc>
          <w:tcPr>
            <w:tcW w:w="3939" w:type="dxa"/>
            <w:tcBorders>
              <w:top w:val="single" w:sz="4" w:space="0" w:color="auto"/>
              <w:left w:val="nil"/>
              <w:bottom w:val="nil"/>
              <w:right w:val="nil"/>
            </w:tcBorders>
            <w:shd w:val="clear" w:color="auto" w:fill="auto"/>
            <w:noWrap/>
            <w:vAlign w:val="bottom"/>
            <w:hideMark/>
          </w:tcPr>
          <w:p w14:paraId="14A71ED2" w14:textId="77777777" w:rsidR="00923902" w:rsidRPr="00923902" w:rsidRDefault="00923902" w:rsidP="00923902">
            <w:pPr>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318" w:type="dxa"/>
            <w:tcBorders>
              <w:top w:val="single" w:sz="4" w:space="0" w:color="auto"/>
              <w:left w:val="nil"/>
              <w:bottom w:val="nil"/>
              <w:right w:val="nil"/>
            </w:tcBorders>
            <w:shd w:val="clear" w:color="auto" w:fill="auto"/>
            <w:noWrap/>
            <w:vAlign w:val="bottom"/>
            <w:hideMark/>
          </w:tcPr>
          <w:p w14:paraId="6A562552" w14:textId="77777777" w:rsidR="00923902" w:rsidRPr="00923902" w:rsidRDefault="00923902" w:rsidP="00923902">
            <w:pPr>
              <w:jc w:val="center"/>
              <w:rPr>
                <w:rFonts w:ascii="Arial" w:hAnsi="Arial" w:cs="Arial"/>
                <w:b/>
                <w:bCs/>
                <w:color w:val="000000" w:themeColor="text1"/>
                <w:sz w:val="18"/>
                <w:szCs w:val="18"/>
              </w:rPr>
            </w:pPr>
            <w:r w:rsidRPr="00923902">
              <w:rPr>
                <w:rFonts w:ascii="Arial" w:hAnsi="Arial" w:cs="Arial"/>
                <w:b/>
                <w:bCs/>
                <w:color w:val="000000" w:themeColor="text1"/>
                <w:sz w:val="18"/>
                <w:szCs w:val="18"/>
              </w:rPr>
              <w:t>Discounted</w:t>
            </w:r>
          </w:p>
        </w:tc>
        <w:tc>
          <w:tcPr>
            <w:tcW w:w="1318" w:type="dxa"/>
            <w:tcBorders>
              <w:top w:val="single" w:sz="4" w:space="0" w:color="auto"/>
              <w:left w:val="nil"/>
              <w:bottom w:val="nil"/>
              <w:right w:val="nil"/>
            </w:tcBorders>
            <w:shd w:val="clear" w:color="auto" w:fill="auto"/>
            <w:noWrap/>
            <w:vAlign w:val="bottom"/>
            <w:hideMark/>
          </w:tcPr>
          <w:p w14:paraId="05E29C20" w14:textId="77777777" w:rsidR="00923902" w:rsidRPr="00923902" w:rsidRDefault="00923902" w:rsidP="00923902">
            <w:pPr>
              <w:jc w:val="center"/>
              <w:rPr>
                <w:rFonts w:ascii="Arial" w:hAnsi="Arial" w:cs="Arial"/>
                <w:b/>
                <w:bCs/>
                <w:color w:val="000000" w:themeColor="text1"/>
                <w:sz w:val="18"/>
                <w:szCs w:val="18"/>
              </w:rPr>
            </w:pPr>
            <w:r w:rsidRPr="00923902">
              <w:rPr>
                <w:rFonts w:ascii="Arial" w:hAnsi="Arial" w:cs="Arial"/>
                <w:b/>
                <w:bCs/>
                <w:color w:val="000000" w:themeColor="text1"/>
                <w:sz w:val="18"/>
                <w:szCs w:val="18"/>
              </w:rPr>
              <w:t>Original</w:t>
            </w:r>
          </w:p>
        </w:tc>
        <w:tc>
          <w:tcPr>
            <w:tcW w:w="2448" w:type="dxa"/>
            <w:gridSpan w:val="2"/>
            <w:tcBorders>
              <w:top w:val="single" w:sz="4" w:space="0" w:color="auto"/>
              <w:left w:val="nil"/>
              <w:bottom w:val="nil"/>
              <w:right w:val="nil"/>
            </w:tcBorders>
            <w:shd w:val="clear" w:color="auto" w:fill="auto"/>
            <w:vAlign w:val="bottom"/>
            <w:hideMark/>
          </w:tcPr>
          <w:p w14:paraId="618C293A" w14:textId="77777777" w:rsidR="00923902" w:rsidRPr="00923902" w:rsidRDefault="00923902" w:rsidP="00923902">
            <w:pPr>
              <w:jc w:val="center"/>
              <w:rPr>
                <w:rFonts w:ascii="Arial" w:hAnsi="Arial" w:cs="Arial"/>
                <w:b/>
                <w:bCs/>
                <w:color w:val="000000" w:themeColor="text1"/>
                <w:sz w:val="18"/>
                <w:szCs w:val="18"/>
              </w:rPr>
            </w:pPr>
            <w:r w:rsidRPr="00923902">
              <w:rPr>
                <w:rFonts w:ascii="Arial" w:hAnsi="Arial" w:cs="Arial"/>
                <w:b/>
                <w:bCs/>
                <w:color w:val="000000" w:themeColor="text1"/>
                <w:sz w:val="18"/>
                <w:szCs w:val="18"/>
              </w:rPr>
              <w:t>Growth Share</w:t>
            </w:r>
          </w:p>
        </w:tc>
      </w:tr>
      <w:tr w:rsidR="00923902" w:rsidRPr="00923902" w14:paraId="7E34D975" w14:textId="77777777" w:rsidTr="00923902">
        <w:trPr>
          <w:trHeight w:val="304"/>
        </w:trPr>
        <w:tc>
          <w:tcPr>
            <w:tcW w:w="3939" w:type="dxa"/>
            <w:tcBorders>
              <w:top w:val="nil"/>
              <w:left w:val="nil"/>
              <w:bottom w:val="single" w:sz="8" w:space="0" w:color="auto"/>
              <w:right w:val="nil"/>
            </w:tcBorders>
            <w:shd w:val="clear" w:color="auto" w:fill="auto"/>
            <w:noWrap/>
            <w:vAlign w:val="bottom"/>
            <w:hideMark/>
          </w:tcPr>
          <w:p w14:paraId="4E3A3F05" w14:textId="77777777" w:rsidR="00923902" w:rsidRPr="00923902" w:rsidRDefault="00923902" w:rsidP="00923902">
            <w:pPr>
              <w:rPr>
                <w:rFonts w:ascii="Arial" w:hAnsi="Arial" w:cs="Arial"/>
                <w:b/>
                <w:bCs/>
                <w:color w:val="000000" w:themeColor="text1"/>
                <w:sz w:val="18"/>
                <w:szCs w:val="18"/>
              </w:rPr>
            </w:pPr>
            <w:r w:rsidRPr="00923902">
              <w:rPr>
                <w:rFonts w:ascii="Arial" w:hAnsi="Arial" w:cs="Arial"/>
                <w:b/>
                <w:bCs/>
                <w:color w:val="000000" w:themeColor="text1"/>
                <w:sz w:val="18"/>
                <w:szCs w:val="18"/>
              </w:rPr>
              <w:t>Description</w:t>
            </w:r>
          </w:p>
        </w:tc>
        <w:tc>
          <w:tcPr>
            <w:tcW w:w="1318" w:type="dxa"/>
            <w:tcBorders>
              <w:top w:val="nil"/>
              <w:left w:val="nil"/>
              <w:bottom w:val="single" w:sz="8" w:space="0" w:color="auto"/>
              <w:right w:val="nil"/>
            </w:tcBorders>
            <w:shd w:val="clear" w:color="auto" w:fill="auto"/>
            <w:noWrap/>
            <w:vAlign w:val="bottom"/>
            <w:hideMark/>
          </w:tcPr>
          <w:p w14:paraId="2B908E0A" w14:textId="77777777" w:rsidR="00923902" w:rsidRPr="00923902" w:rsidRDefault="00923902" w:rsidP="00923902">
            <w:pPr>
              <w:jc w:val="center"/>
              <w:rPr>
                <w:rFonts w:ascii="Arial" w:hAnsi="Arial" w:cs="Arial"/>
                <w:b/>
                <w:bCs/>
                <w:color w:val="000000" w:themeColor="text1"/>
                <w:sz w:val="18"/>
                <w:szCs w:val="18"/>
              </w:rPr>
            </w:pPr>
            <w:r w:rsidRPr="00923902">
              <w:rPr>
                <w:rFonts w:ascii="Arial" w:hAnsi="Arial" w:cs="Arial"/>
                <w:b/>
                <w:bCs/>
                <w:color w:val="000000" w:themeColor="text1"/>
                <w:sz w:val="18"/>
                <w:szCs w:val="18"/>
              </w:rPr>
              <w:t xml:space="preserve">Length </w:t>
            </w:r>
            <w:r w:rsidRPr="00923902">
              <w:rPr>
                <w:rFonts w:ascii="Arial" w:hAnsi="Arial" w:cs="Arial"/>
                <w:b/>
                <w:bCs/>
                <w:color w:val="000000" w:themeColor="text1"/>
                <w:sz w:val="18"/>
                <w:szCs w:val="18"/>
                <w:vertAlign w:val="superscript"/>
              </w:rPr>
              <w:t>1</w:t>
            </w:r>
          </w:p>
        </w:tc>
        <w:tc>
          <w:tcPr>
            <w:tcW w:w="1318" w:type="dxa"/>
            <w:tcBorders>
              <w:top w:val="nil"/>
              <w:left w:val="nil"/>
              <w:bottom w:val="single" w:sz="8" w:space="0" w:color="auto"/>
              <w:right w:val="nil"/>
            </w:tcBorders>
            <w:shd w:val="clear" w:color="auto" w:fill="auto"/>
            <w:noWrap/>
            <w:vAlign w:val="bottom"/>
            <w:hideMark/>
          </w:tcPr>
          <w:p w14:paraId="63A5ECB3" w14:textId="77777777" w:rsidR="00923902" w:rsidRPr="00923902" w:rsidRDefault="00923902" w:rsidP="00923902">
            <w:pPr>
              <w:jc w:val="center"/>
              <w:rPr>
                <w:rFonts w:ascii="Arial" w:hAnsi="Arial" w:cs="Arial"/>
                <w:b/>
                <w:bCs/>
                <w:color w:val="000000" w:themeColor="text1"/>
                <w:sz w:val="18"/>
                <w:szCs w:val="18"/>
              </w:rPr>
            </w:pPr>
            <w:r w:rsidRPr="00923902">
              <w:rPr>
                <w:rFonts w:ascii="Arial" w:hAnsi="Arial" w:cs="Arial"/>
                <w:b/>
                <w:bCs/>
                <w:color w:val="000000" w:themeColor="text1"/>
                <w:sz w:val="18"/>
                <w:szCs w:val="18"/>
              </w:rPr>
              <w:t xml:space="preserve">Cost </w:t>
            </w:r>
            <w:r w:rsidRPr="00923902">
              <w:rPr>
                <w:rFonts w:ascii="Arial" w:hAnsi="Arial" w:cs="Arial"/>
                <w:b/>
                <w:bCs/>
                <w:color w:val="000000" w:themeColor="text1"/>
                <w:sz w:val="18"/>
                <w:szCs w:val="18"/>
                <w:vertAlign w:val="superscript"/>
              </w:rPr>
              <w:t>2</w:t>
            </w:r>
          </w:p>
        </w:tc>
        <w:tc>
          <w:tcPr>
            <w:tcW w:w="1224" w:type="dxa"/>
            <w:tcBorders>
              <w:top w:val="nil"/>
              <w:left w:val="nil"/>
              <w:bottom w:val="single" w:sz="8" w:space="0" w:color="auto"/>
              <w:right w:val="nil"/>
            </w:tcBorders>
            <w:shd w:val="clear" w:color="auto" w:fill="auto"/>
            <w:noWrap/>
            <w:vAlign w:val="bottom"/>
            <w:hideMark/>
          </w:tcPr>
          <w:p w14:paraId="6F766B69" w14:textId="77777777" w:rsidR="00923902" w:rsidRPr="00923902" w:rsidRDefault="00923902" w:rsidP="00923902">
            <w:pPr>
              <w:jc w:val="center"/>
              <w:rPr>
                <w:rFonts w:ascii="Arial" w:hAnsi="Arial" w:cs="Arial"/>
                <w:color w:val="000000" w:themeColor="text1"/>
                <w:sz w:val="18"/>
                <w:szCs w:val="18"/>
              </w:rPr>
            </w:pPr>
            <w:r w:rsidRPr="00923902">
              <w:rPr>
                <w:rFonts w:ascii="Arial" w:hAnsi="Arial" w:cs="Arial"/>
                <w:color w:val="000000" w:themeColor="text1"/>
                <w:sz w:val="18"/>
                <w:szCs w:val="18"/>
              </w:rPr>
              <w:t>%</w:t>
            </w:r>
          </w:p>
        </w:tc>
        <w:tc>
          <w:tcPr>
            <w:tcW w:w="1224" w:type="dxa"/>
            <w:tcBorders>
              <w:top w:val="nil"/>
              <w:left w:val="nil"/>
              <w:bottom w:val="single" w:sz="8" w:space="0" w:color="auto"/>
              <w:right w:val="nil"/>
            </w:tcBorders>
            <w:shd w:val="clear" w:color="auto" w:fill="auto"/>
            <w:noWrap/>
            <w:vAlign w:val="bottom"/>
            <w:hideMark/>
          </w:tcPr>
          <w:p w14:paraId="2D0399ED" w14:textId="77777777" w:rsidR="00923902" w:rsidRPr="00923902" w:rsidRDefault="00923902" w:rsidP="00923902">
            <w:pPr>
              <w:jc w:val="center"/>
              <w:rPr>
                <w:rFonts w:ascii="Arial" w:hAnsi="Arial" w:cs="Arial"/>
                <w:color w:val="000000" w:themeColor="text1"/>
                <w:sz w:val="18"/>
                <w:szCs w:val="18"/>
              </w:rPr>
            </w:pPr>
            <w:r w:rsidRPr="00923902">
              <w:rPr>
                <w:rFonts w:ascii="Arial" w:hAnsi="Arial" w:cs="Arial"/>
                <w:color w:val="000000" w:themeColor="text1"/>
                <w:sz w:val="18"/>
                <w:szCs w:val="18"/>
              </w:rPr>
              <w:t>$</w:t>
            </w:r>
          </w:p>
        </w:tc>
      </w:tr>
      <w:tr w:rsidR="00923902" w:rsidRPr="00923902" w14:paraId="12EC2314" w14:textId="77777777" w:rsidTr="009F39A1">
        <w:trPr>
          <w:trHeight w:val="260"/>
        </w:trPr>
        <w:tc>
          <w:tcPr>
            <w:tcW w:w="3939" w:type="dxa"/>
            <w:tcBorders>
              <w:top w:val="nil"/>
              <w:left w:val="nil"/>
              <w:bottom w:val="nil"/>
              <w:right w:val="nil"/>
            </w:tcBorders>
            <w:shd w:val="clear" w:color="000000" w:fill="D9D9D9"/>
            <w:noWrap/>
            <w:vAlign w:val="bottom"/>
            <w:hideMark/>
          </w:tcPr>
          <w:p w14:paraId="4C875ED4" w14:textId="77777777" w:rsidR="00923902" w:rsidRPr="00923902" w:rsidRDefault="00923902" w:rsidP="009F39A1">
            <w:pPr>
              <w:rPr>
                <w:rFonts w:ascii="Arial" w:hAnsi="Arial" w:cs="Arial"/>
                <w:b/>
                <w:bCs/>
                <w:color w:val="000000" w:themeColor="text1"/>
                <w:sz w:val="18"/>
                <w:szCs w:val="18"/>
              </w:rPr>
            </w:pPr>
            <w:r w:rsidRPr="00923902">
              <w:rPr>
                <w:rFonts w:ascii="Arial" w:hAnsi="Arial" w:cs="Arial"/>
                <w:b/>
                <w:bCs/>
                <w:color w:val="000000" w:themeColor="text1"/>
                <w:sz w:val="18"/>
                <w:szCs w:val="18"/>
              </w:rPr>
              <w:t>Collection</w:t>
            </w:r>
          </w:p>
        </w:tc>
        <w:tc>
          <w:tcPr>
            <w:tcW w:w="1318" w:type="dxa"/>
            <w:tcBorders>
              <w:top w:val="nil"/>
              <w:left w:val="nil"/>
              <w:bottom w:val="nil"/>
              <w:right w:val="nil"/>
            </w:tcBorders>
            <w:shd w:val="clear" w:color="000000" w:fill="D9D9D9"/>
            <w:noWrap/>
            <w:vAlign w:val="bottom"/>
            <w:hideMark/>
          </w:tcPr>
          <w:p w14:paraId="004DD8A4"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318" w:type="dxa"/>
            <w:tcBorders>
              <w:top w:val="nil"/>
              <w:left w:val="nil"/>
              <w:bottom w:val="nil"/>
              <w:right w:val="nil"/>
            </w:tcBorders>
            <w:shd w:val="clear" w:color="000000" w:fill="D9D9D9"/>
            <w:noWrap/>
            <w:vAlign w:val="bottom"/>
            <w:hideMark/>
          </w:tcPr>
          <w:p w14:paraId="457CB517"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5C3BFEF5"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04B0EFCC"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r>
      <w:tr w:rsidR="009738B7" w:rsidRPr="00923902" w14:paraId="76226484" w14:textId="77777777" w:rsidTr="00A56157">
        <w:trPr>
          <w:trHeight w:val="260"/>
        </w:trPr>
        <w:tc>
          <w:tcPr>
            <w:tcW w:w="3939" w:type="dxa"/>
            <w:tcBorders>
              <w:top w:val="nil"/>
              <w:left w:val="nil"/>
              <w:bottom w:val="nil"/>
              <w:right w:val="nil"/>
            </w:tcBorders>
            <w:shd w:val="clear" w:color="auto" w:fill="auto"/>
            <w:vAlign w:val="bottom"/>
            <w:hideMark/>
          </w:tcPr>
          <w:p w14:paraId="080A7210"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6-inch trunk</w:t>
            </w:r>
          </w:p>
        </w:tc>
        <w:tc>
          <w:tcPr>
            <w:tcW w:w="1318" w:type="dxa"/>
            <w:tcBorders>
              <w:top w:val="nil"/>
              <w:left w:val="nil"/>
              <w:bottom w:val="nil"/>
              <w:right w:val="nil"/>
            </w:tcBorders>
            <w:shd w:val="clear" w:color="auto" w:fill="auto"/>
            <w:vAlign w:val="bottom"/>
            <w:hideMark/>
          </w:tcPr>
          <w:p w14:paraId="13C68158"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1,870 </w:t>
            </w:r>
          </w:p>
        </w:tc>
        <w:tc>
          <w:tcPr>
            <w:tcW w:w="1318" w:type="dxa"/>
            <w:tcBorders>
              <w:top w:val="nil"/>
              <w:left w:val="nil"/>
              <w:bottom w:val="nil"/>
              <w:right w:val="nil"/>
            </w:tcBorders>
            <w:shd w:val="clear" w:color="auto" w:fill="auto"/>
            <w:vAlign w:val="bottom"/>
            <w:hideMark/>
          </w:tcPr>
          <w:p w14:paraId="415CC2EB" w14:textId="51352EE1"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923902">
              <w:rPr>
                <w:rFonts w:ascii="Arial" w:hAnsi="Arial" w:cs="Arial"/>
                <w:color w:val="000000" w:themeColor="text1"/>
                <w:sz w:val="18"/>
                <w:szCs w:val="18"/>
              </w:rPr>
              <w:t xml:space="preserve">6,945 </w:t>
            </w:r>
          </w:p>
        </w:tc>
        <w:tc>
          <w:tcPr>
            <w:tcW w:w="1224" w:type="dxa"/>
            <w:tcBorders>
              <w:top w:val="nil"/>
              <w:left w:val="nil"/>
              <w:bottom w:val="nil"/>
              <w:right w:val="nil"/>
            </w:tcBorders>
            <w:shd w:val="clear" w:color="auto" w:fill="auto"/>
            <w:noWrap/>
            <w:vAlign w:val="bottom"/>
            <w:hideMark/>
          </w:tcPr>
          <w:p w14:paraId="1EAE82D2" w14:textId="612F7BAD"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hideMark/>
          </w:tcPr>
          <w:p w14:paraId="27DD76C6" w14:textId="25A3FA36"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 xml:space="preserve">$1,836 </w:t>
            </w:r>
          </w:p>
        </w:tc>
      </w:tr>
      <w:tr w:rsidR="009738B7" w:rsidRPr="00923902" w14:paraId="46675807" w14:textId="77777777" w:rsidTr="00A56157">
        <w:trPr>
          <w:trHeight w:val="260"/>
        </w:trPr>
        <w:tc>
          <w:tcPr>
            <w:tcW w:w="3939" w:type="dxa"/>
            <w:tcBorders>
              <w:top w:val="nil"/>
              <w:left w:val="nil"/>
              <w:bottom w:val="nil"/>
              <w:right w:val="nil"/>
            </w:tcBorders>
            <w:shd w:val="clear" w:color="auto" w:fill="auto"/>
            <w:noWrap/>
            <w:vAlign w:val="bottom"/>
            <w:hideMark/>
          </w:tcPr>
          <w:p w14:paraId="20770CF2"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8-inch trunk</w:t>
            </w:r>
          </w:p>
        </w:tc>
        <w:tc>
          <w:tcPr>
            <w:tcW w:w="1318" w:type="dxa"/>
            <w:tcBorders>
              <w:top w:val="nil"/>
              <w:left w:val="nil"/>
              <w:bottom w:val="nil"/>
              <w:right w:val="nil"/>
            </w:tcBorders>
            <w:shd w:val="clear" w:color="auto" w:fill="auto"/>
            <w:vAlign w:val="bottom"/>
            <w:hideMark/>
          </w:tcPr>
          <w:p w14:paraId="12387676"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13,734 </w:t>
            </w:r>
          </w:p>
        </w:tc>
        <w:tc>
          <w:tcPr>
            <w:tcW w:w="1318" w:type="dxa"/>
            <w:tcBorders>
              <w:top w:val="nil"/>
              <w:left w:val="nil"/>
              <w:bottom w:val="nil"/>
              <w:right w:val="nil"/>
            </w:tcBorders>
            <w:shd w:val="clear" w:color="auto" w:fill="auto"/>
            <w:vAlign w:val="bottom"/>
            <w:hideMark/>
          </w:tcPr>
          <w:p w14:paraId="1B25387A" w14:textId="5494A39C" w:rsidR="009738B7" w:rsidRPr="00923902" w:rsidRDefault="009738B7" w:rsidP="009738B7">
            <w:pPr>
              <w:jc w:val="right"/>
              <w:rPr>
                <w:rFonts w:ascii="Arial" w:hAnsi="Arial" w:cs="Arial"/>
                <w:color w:val="000000" w:themeColor="text1"/>
                <w:sz w:val="18"/>
                <w:szCs w:val="18"/>
              </w:rPr>
            </w:pPr>
            <w:r>
              <w:rPr>
                <w:rFonts w:ascii="Arial" w:hAnsi="Arial" w:cs="Arial"/>
                <w:color w:val="000000" w:themeColor="text1"/>
                <w:sz w:val="18"/>
                <w:szCs w:val="18"/>
              </w:rPr>
              <w:t xml:space="preserve">         $</w:t>
            </w:r>
            <w:r w:rsidRPr="00923902">
              <w:rPr>
                <w:rFonts w:ascii="Arial" w:hAnsi="Arial" w:cs="Arial"/>
                <w:color w:val="000000" w:themeColor="text1"/>
                <w:sz w:val="18"/>
                <w:szCs w:val="18"/>
              </w:rPr>
              <w:t xml:space="preserve">35,630 </w:t>
            </w:r>
          </w:p>
        </w:tc>
        <w:tc>
          <w:tcPr>
            <w:tcW w:w="1224" w:type="dxa"/>
            <w:tcBorders>
              <w:top w:val="nil"/>
              <w:left w:val="nil"/>
              <w:bottom w:val="nil"/>
              <w:right w:val="nil"/>
            </w:tcBorders>
            <w:shd w:val="clear" w:color="auto" w:fill="auto"/>
            <w:noWrap/>
            <w:vAlign w:val="bottom"/>
            <w:hideMark/>
          </w:tcPr>
          <w:p w14:paraId="7DF46F37" w14:textId="5D75130D"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hideMark/>
          </w:tcPr>
          <w:p w14:paraId="255B9B73" w14:textId="304FD6FF"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 xml:space="preserve">$9,420 </w:t>
            </w:r>
          </w:p>
        </w:tc>
      </w:tr>
      <w:tr w:rsidR="009738B7" w:rsidRPr="00923902" w14:paraId="762421B9" w14:textId="77777777" w:rsidTr="00A56157">
        <w:trPr>
          <w:trHeight w:val="260"/>
        </w:trPr>
        <w:tc>
          <w:tcPr>
            <w:tcW w:w="3939" w:type="dxa"/>
            <w:tcBorders>
              <w:top w:val="nil"/>
              <w:left w:val="nil"/>
              <w:bottom w:val="nil"/>
              <w:right w:val="nil"/>
            </w:tcBorders>
            <w:shd w:val="clear" w:color="auto" w:fill="auto"/>
            <w:noWrap/>
            <w:vAlign w:val="bottom"/>
            <w:hideMark/>
          </w:tcPr>
          <w:p w14:paraId="05A8E8CD"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10-inch trunk</w:t>
            </w:r>
          </w:p>
        </w:tc>
        <w:tc>
          <w:tcPr>
            <w:tcW w:w="1318" w:type="dxa"/>
            <w:tcBorders>
              <w:top w:val="nil"/>
              <w:left w:val="nil"/>
              <w:bottom w:val="nil"/>
              <w:right w:val="nil"/>
            </w:tcBorders>
            <w:shd w:val="clear" w:color="auto" w:fill="auto"/>
            <w:vAlign w:val="bottom"/>
            <w:hideMark/>
          </w:tcPr>
          <w:p w14:paraId="3BF7B54C"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   </w:t>
            </w:r>
          </w:p>
        </w:tc>
        <w:tc>
          <w:tcPr>
            <w:tcW w:w="1318" w:type="dxa"/>
            <w:tcBorders>
              <w:top w:val="nil"/>
              <w:left w:val="nil"/>
              <w:bottom w:val="nil"/>
              <w:right w:val="nil"/>
            </w:tcBorders>
            <w:shd w:val="clear" w:color="auto" w:fill="auto"/>
            <w:vAlign w:val="bottom"/>
            <w:hideMark/>
          </w:tcPr>
          <w:p w14:paraId="28F300A0" w14:textId="1B2CB20A" w:rsidR="009738B7" w:rsidRPr="00923902" w:rsidRDefault="009738B7" w:rsidP="009738B7">
            <w:pPr>
              <w:jc w:val="right"/>
              <w:rPr>
                <w:rFonts w:ascii="Arial" w:hAnsi="Arial" w:cs="Arial"/>
                <w:color w:val="000000" w:themeColor="text1"/>
                <w:sz w:val="18"/>
                <w:szCs w:val="18"/>
              </w:rPr>
            </w:pPr>
            <w:r>
              <w:rPr>
                <w:rFonts w:ascii="Arial" w:hAnsi="Arial" w:cs="Arial"/>
                <w:color w:val="000000" w:themeColor="text1"/>
                <w:sz w:val="18"/>
                <w:szCs w:val="18"/>
              </w:rPr>
              <w:t xml:space="preserve">           $</w:t>
            </w:r>
            <w:r w:rsidRPr="00923902">
              <w:rPr>
                <w:rFonts w:ascii="Arial" w:hAnsi="Arial" w:cs="Arial"/>
                <w:color w:val="000000" w:themeColor="text1"/>
                <w:sz w:val="18"/>
                <w:szCs w:val="18"/>
              </w:rPr>
              <w:t xml:space="preserve">3,998 </w:t>
            </w:r>
          </w:p>
        </w:tc>
        <w:tc>
          <w:tcPr>
            <w:tcW w:w="1224" w:type="dxa"/>
            <w:tcBorders>
              <w:top w:val="nil"/>
              <w:left w:val="nil"/>
              <w:bottom w:val="nil"/>
              <w:right w:val="nil"/>
            </w:tcBorders>
            <w:shd w:val="clear" w:color="auto" w:fill="auto"/>
            <w:noWrap/>
            <w:vAlign w:val="bottom"/>
            <w:hideMark/>
          </w:tcPr>
          <w:p w14:paraId="0D6BAFB4" w14:textId="233B3942"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hideMark/>
          </w:tcPr>
          <w:p w14:paraId="77403AFE" w14:textId="19B35BC3"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 xml:space="preserve">$1,057 </w:t>
            </w:r>
          </w:p>
        </w:tc>
      </w:tr>
      <w:tr w:rsidR="009738B7" w:rsidRPr="00923902" w14:paraId="32F71EE4" w14:textId="77777777" w:rsidTr="00A56157">
        <w:trPr>
          <w:trHeight w:val="260"/>
        </w:trPr>
        <w:tc>
          <w:tcPr>
            <w:tcW w:w="3939" w:type="dxa"/>
            <w:tcBorders>
              <w:top w:val="nil"/>
              <w:left w:val="nil"/>
              <w:bottom w:val="nil"/>
              <w:right w:val="nil"/>
            </w:tcBorders>
            <w:shd w:val="clear" w:color="auto" w:fill="auto"/>
            <w:vAlign w:val="bottom"/>
            <w:hideMark/>
          </w:tcPr>
          <w:p w14:paraId="632EB55C"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12-inch trunk</w:t>
            </w:r>
          </w:p>
        </w:tc>
        <w:tc>
          <w:tcPr>
            <w:tcW w:w="1318" w:type="dxa"/>
            <w:tcBorders>
              <w:top w:val="nil"/>
              <w:left w:val="nil"/>
              <w:bottom w:val="nil"/>
              <w:right w:val="nil"/>
            </w:tcBorders>
            <w:shd w:val="clear" w:color="auto" w:fill="auto"/>
            <w:vAlign w:val="bottom"/>
            <w:hideMark/>
          </w:tcPr>
          <w:p w14:paraId="11F06DB4"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2,505 </w:t>
            </w:r>
          </w:p>
        </w:tc>
        <w:tc>
          <w:tcPr>
            <w:tcW w:w="1318" w:type="dxa"/>
            <w:tcBorders>
              <w:top w:val="nil"/>
              <w:left w:val="nil"/>
              <w:bottom w:val="nil"/>
              <w:right w:val="nil"/>
            </w:tcBorders>
            <w:shd w:val="clear" w:color="auto" w:fill="auto"/>
            <w:vAlign w:val="bottom"/>
            <w:hideMark/>
          </w:tcPr>
          <w:p w14:paraId="4FAD5FB7" w14:textId="2F4A4177" w:rsidR="009738B7" w:rsidRPr="00923902" w:rsidRDefault="009738B7" w:rsidP="009738B7">
            <w:pPr>
              <w:jc w:val="right"/>
              <w:rPr>
                <w:rFonts w:ascii="Arial" w:hAnsi="Arial" w:cs="Arial"/>
                <w:color w:val="000000" w:themeColor="text1"/>
                <w:sz w:val="18"/>
                <w:szCs w:val="18"/>
              </w:rPr>
            </w:pPr>
            <w:r>
              <w:rPr>
                <w:rFonts w:ascii="Arial" w:hAnsi="Arial" w:cs="Arial"/>
                <w:color w:val="000000" w:themeColor="text1"/>
                <w:sz w:val="18"/>
                <w:szCs w:val="18"/>
              </w:rPr>
              <w:t xml:space="preserve">           $</w:t>
            </w:r>
            <w:r w:rsidRPr="00923902">
              <w:rPr>
                <w:rFonts w:ascii="Arial" w:hAnsi="Arial" w:cs="Arial"/>
                <w:color w:val="000000" w:themeColor="text1"/>
                <w:sz w:val="18"/>
                <w:szCs w:val="18"/>
              </w:rPr>
              <w:t xml:space="preserve">7,952 </w:t>
            </w:r>
          </w:p>
        </w:tc>
        <w:tc>
          <w:tcPr>
            <w:tcW w:w="1224" w:type="dxa"/>
            <w:tcBorders>
              <w:top w:val="nil"/>
              <w:left w:val="nil"/>
              <w:bottom w:val="nil"/>
              <w:right w:val="nil"/>
            </w:tcBorders>
            <w:shd w:val="clear" w:color="auto" w:fill="auto"/>
            <w:noWrap/>
            <w:vAlign w:val="bottom"/>
            <w:hideMark/>
          </w:tcPr>
          <w:p w14:paraId="493DDAB4" w14:textId="36744E43"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hideMark/>
          </w:tcPr>
          <w:p w14:paraId="64FC0275" w14:textId="33C12889"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 xml:space="preserve">$2,102 </w:t>
            </w:r>
          </w:p>
        </w:tc>
      </w:tr>
      <w:tr w:rsidR="009738B7" w:rsidRPr="00923902" w14:paraId="1F75D218" w14:textId="77777777" w:rsidTr="00A56157">
        <w:trPr>
          <w:trHeight w:val="260"/>
        </w:trPr>
        <w:tc>
          <w:tcPr>
            <w:tcW w:w="3939" w:type="dxa"/>
            <w:tcBorders>
              <w:top w:val="nil"/>
              <w:left w:val="nil"/>
              <w:bottom w:val="nil"/>
              <w:right w:val="nil"/>
            </w:tcBorders>
            <w:shd w:val="clear" w:color="auto" w:fill="auto"/>
            <w:noWrap/>
            <w:vAlign w:val="bottom"/>
            <w:hideMark/>
          </w:tcPr>
          <w:p w14:paraId="4D68E93E"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12-inch force main (PVC) Yamhill</w:t>
            </w:r>
          </w:p>
        </w:tc>
        <w:tc>
          <w:tcPr>
            <w:tcW w:w="1318" w:type="dxa"/>
            <w:tcBorders>
              <w:top w:val="nil"/>
              <w:left w:val="nil"/>
              <w:bottom w:val="nil"/>
              <w:right w:val="nil"/>
            </w:tcBorders>
            <w:shd w:val="clear" w:color="auto" w:fill="auto"/>
            <w:noWrap/>
            <w:vAlign w:val="bottom"/>
            <w:hideMark/>
          </w:tcPr>
          <w:p w14:paraId="4CC8D640" w14:textId="77777777" w:rsidR="009738B7" w:rsidRPr="00923902" w:rsidRDefault="009738B7" w:rsidP="009738B7">
            <w:pPr>
              <w:jc w:val="right"/>
              <w:rPr>
                <w:rFonts w:ascii="Arial" w:hAnsi="Arial" w:cs="Arial"/>
                <w:color w:val="000000" w:themeColor="text1"/>
                <w:sz w:val="18"/>
                <w:szCs w:val="18"/>
              </w:rPr>
            </w:pPr>
          </w:p>
        </w:tc>
        <w:tc>
          <w:tcPr>
            <w:tcW w:w="1318" w:type="dxa"/>
            <w:tcBorders>
              <w:top w:val="nil"/>
              <w:left w:val="nil"/>
              <w:bottom w:val="nil"/>
              <w:right w:val="nil"/>
            </w:tcBorders>
            <w:shd w:val="clear" w:color="auto" w:fill="auto"/>
            <w:noWrap/>
            <w:vAlign w:val="bottom"/>
            <w:hideMark/>
          </w:tcPr>
          <w:p w14:paraId="4FD03036" w14:textId="77777777" w:rsidR="009738B7" w:rsidRPr="00923902" w:rsidRDefault="009738B7" w:rsidP="009738B7">
            <w:pPr>
              <w:ind w:firstLineChars="100" w:firstLine="180"/>
              <w:jc w:val="right"/>
              <w:rPr>
                <w:rFonts w:ascii="Arial" w:hAnsi="Arial" w:cs="Arial"/>
                <w:color w:val="000000" w:themeColor="text1"/>
                <w:sz w:val="18"/>
                <w:szCs w:val="18"/>
              </w:rPr>
            </w:pPr>
            <w:r w:rsidRPr="00923902">
              <w:rPr>
                <w:rFonts w:ascii="Arial" w:hAnsi="Arial" w:cs="Arial"/>
                <w:color w:val="000000" w:themeColor="text1"/>
                <w:sz w:val="18"/>
                <w:szCs w:val="18"/>
              </w:rPr>
              <w:t>$1,862,098</w:t>
            </w:r>
          </w:p>
        </w:tc>
        <w:tc>
          <w:tcPr>
            <w:tcW w:w="1224" w:type="dxa"/>
            <w:tcBorders>
              <w:top w:val="nil"/>
              <w:left w:val="nil"/>
              <w:bottom w:val="nil"/>
              <w:right w:val="nil"/>
            </w:tcBorders>
            <w:shd w:val="clear" w:color="auto" w:fill="auto"/>
            <w:noWrap/>
            <w:vAlign w:val="bottom"/>
            <w:hideMark/>
          </w:tcPr>
          <w:p w14:paraId="00D67517" w14:textId="27691C4D"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hideMark/>
          </w:tcPr>
          <w:p w14:paraId="3E56B54B" w14:textId="7E6AE7E5"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 xml:space="preserve">$492,314 </w:t>
            </w:r>
          </w:p>
        </w:tc>
      </w:tr>
      <w:tr w:rsidR="009738B7" w:rsidRPr="00923902" w14:paraId="17F6F2BA" w14:textId="77777777" w:rsidTr="00A56157">
        <w:trPr>
          <w:trHeight w:val="260"/>
        </w:trPr>
        <w:tc>
          <w:tcPr>
            <w:tcW w:w="3939" w:type="dxa"/>
            <w:tcBorders>
              <w:top w:val="single" w:sz="4" w:space="0" w:color="auto"/>
              <w:left w:val="nil"/>
              <w:bottom w:val="single" w:sz="4" w:space="0" w:color="auto"/>
              <w:right w:val="nil"/>
            </w:tcBorders>
            <w:shd w:val="clear" w:color="auto" w:fill="auto"/>
            <w:noWrap/>
            <w:vAlign w:val="bottom"/>
            <w:hideMark/>
          </w:tcPr>
          <w:p w14:paraId="0609AB7A" w14:textId="77777777" w:rsidR="009738B7" w:rsidRPr="00923902" w:rsidRDefault="009738B7" w:rsidP="009738B7">
            <w:pPr>
              <w:rPr>
                <w:rFonts w:ascii="Arial" w:hAnsi="Arial" w:cs="Arial"/>
                <w:color w:val="000000" w:themeColor="text1"/>
                <w:sz w:val="18"/>
                <w:szCs w:val="18"/>
              </w:rPr>
            </w:pPr>
            <w:r w:rsidRPr="00923902">
              <w:rPr>
                <w:rFonts w:ascii="Arial" w:hAnsi="Arial" w:cs="Arial"/>
                <w:color w:val="000000" w:themeColor="text1"/>
                <w:sz w:val="18"/>
                <w:szCs w:val="18"/>
              </w:rPr>
              <w:t>Subtotal</w:t>
            </w:r>
          </w:p>
        </w:tc>
        <w:tc>
          <w:tcPr>
            <w:tcW w:w="1318" w:type="dxa"/>
            <w:tcBorders>
              <w:top w:val="single" w:sz="4" w:space="0" w:color="auto"/>
              <w:left w:val="nil"/>
              <w:bottom w:val="single" w:sz="4" w:space="0" w:color="auto"/>
              <w:right w:val="nil"/>
            </w:tcBorders>
            <w:shd w:val="clear" w:color="auto" w:fill="auto"/>
            <w:noWrap/>
            <w:vAlign w:val="bottom"/>
            <w:hideMark/>
          </w:tcPr>
          <w:p w14:paraId="3C04291C"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318" w:type="dxa"/>
            <w:tcBorders>
              <w:top w:val="single" w:sz="4" w:space="0" w:color="auto"/>
              <w:left w:val="nil"/>
              <w:bottom w:val="single" w:sz="4" w:space="0" w:color="auto"/>
              <w:right w:val="nil"/>
            </w:tcBorders>
            <w:shd w:val="clear" w:color="auto" w:fill="auto"/>
            <w:noWrap/>
            <w:vAlign w:val="bottom"/>
            <w:hideMark/>
          </w:tcPr>
          <w:p w14:paraId="06A9DD15"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$1,916,623</w:t>
            </w:r>
          </w:p>
        </w:tc>
        <w:tc>
          <w:tcPr>
            <w:tcW w:w="1224" w:type="dxa"/>
            <w:tcBorders>
              <w:top w:val="single" w:sz="4" w:space="0" w:color="auto"/>
              <w:left w:val="nil"/>
              <w:bottom w:val="single" w:sz="4" w:space="0" w:color="auto"/>
              <w:right w:val="nil"/>
            </w:tcBorders>
            <w:shd w:val="clear" w:color="auto" w:fill="auto"/>
            <w:noWrap/>
            <w:vAlign w:val="bottom"/>
            <w:hideMark/>
          </w:tcPr>
          <w:p w14:paraId="3D93342A" w14:textId="77777777" w:rsidR="009738B7" w:rsidRPr="00923902" w:rsidRDefault="009738B7"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single" w:sz="4" w:space="0" w:color="auto"/>
              <w:left w:val="nil"/>
              <w:bottom w:val="single" w:sz="4" w:space="0" w:color="auto"/>
              <w:right w:val="nil"/>
            </w:tcBorders>
            <w:shd w:val="clear" w:color="auto" w:fill="auto"/>
            <w:noWrap/>
            <w:hideMark/>
          </w:tcPr>
          <w:p w14:paraId="5344F850" w14:textId="074B91C6" w:rsidR="009738B7" w:rsidRPr="00923902" w:rsidRDefault="009738B7" w:rsidP="009738B7">
            <w:pPr>
              <w:jc w:val="right"/>
              <w:rPr>
                <w:rFonts w:ascii="Arial" w:hAnsi="Arial" w:cs="Arial"/>
                <w:color w:val="000000" w:themeColor="text1"/>
                <w:sz w:val="18"/>
                <w:szCs w:val="18"/>
              </w:rPr>
            </w:pPr>
            <w:r>
              <w:rPr>
                <w:rFonts w:ascii="Arial" w:hAnsi="Arial" w:cs="Arial"/>
                <w:color w:val="000000"/>
                <w:sz w:val="18"/>
                <w:szCs w:val="18"/>
              </w:rPr>
              <w:t>$506,730</w:t>
            </w:r>
          </w:p>
        </w:tc>
      </w:tr>
      <w:tr w:rsidR="00923902" w:rsidRPr="00923902" w14:paraId="5C3154AE" w14:textId="77777777" w:rsidTr="009F39A1">
        <w:trPr>
          <w:trHeight w:val="260"/>
        </w:trPr>
        <w:tc>
          <w:tcPr>
            <w:tcW w:w="3939" w:type="dxa"/>
            <w:tcBorders>
              <w:top w:val="nil"/>
              <w:left w:val="nil"/>
              <w:bottom w:val="nil"/>
              <w:right w:val="nil"/>
            </w:tcBorders>
            <w:shd w:val="clear" w:color="000000" w:fill="D9D9D9"/>
            <w:noWrap/>
            <w:vAlign w:val="bottom"/>
            <w:hideMark/>
          </w:tcPr>
          <w:p w14:paraId="77CA7EFE" w14:textId="77777777" w:rsidR="00923902" w:rsidRPr="00923902" w:rsidRDefault="00923902" w:rsidP="009F39A1">
            <w:pPr>
              <w:rPr>
                <w:rFonts w:ascii="Arial" w:hAnsi="Arial" w:cs="Arial"/>
                <w:b/>
                <w:bCs/>
                <w:color w:val="000000" w:themeColor="text1"/>
                <w:sz w:val="18"/>
                <w:szCs w:val="18"/>
              </w:rPr>
            </w:pPr>
            <w:r w:rsidRPr="00923902">
              <w:rPr>
                <w:rFonts w:ascii="Arial" w:hAnsi="Arial" w:cs="Arial"/>
                <w:b/>
                <w:bCs/>
                <w:color w:val="000000" w:themeColor="text1"/>
                <w:sz w:val="18"/>
                <w:szCs w:val="18"/>
              </w:rPr>
              <w:t>Treatment</w:t>
            </w:r>
          </w:p>
        </w:tc>
        <w:tc>
          <w:tcPr>
            <w:tcW w:w="1318" w:type="dxa"/>
            <w:tcBorders>
              <w:top w:val="nil"/>
              <w:left w:val="nil"/>
              <w:bottom w:val="nil"/>
              <w:right w:val="nil"/>
            </w:tcBorders>
            <w:shd w:val="clear" w:color="000000" w:fill="D9D9D9"/>
            <w:noWrap/>
            <w:vAlign w:val="bottom"/>
            <w:hideMark/>
          </w:tcPr>
          <w:p w14:paraId="2E76C3AC"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w:t>
            </w:r>
          </w:p>
        </w:tc>
        <w:tc>
          <w:tcPr>
            <w:tcW w:w="1318" w:type="dxa"/>
            <w:tcBorders>
              <w:top w:val="nil"/>
              <w:left w:val="nil"/>
              <w:bottom w:val="nil"/>
              <w:right w:val="nil"/>
            </w:tcBorders>
            <w:shd w:val="clear" w:color="000000" w:fill="D9D9D9"/>
            <w:noWrap/>
            <w:vAlign w:val="bottom"/>
            <w:hideMark/>
          </w:tcPr>
          <w:p w14:paraId="1D3D5875"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5577321B"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58CA1916"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r>
      <w:tr w:rsidR="00923902" w:rsidRPr="00923902" w14:paraId="5EA76CBD" w14:textId="77777777" w:rsidTr="009F39A1">
        <w:trPr>
          <w:trHeight w:val="260"/>
        </w:trPr>
        <w:tc>
          <w:tcPr>
            <w:tcW w:w="3939" w:type="dxa"/>
            <w:tcBorders>
              <w:top w:val="nil"/>
              <w:left w:val="nil"/>
              <w:bottom w:val="nil"/>
              <w:right w:val="nil"/>
            </w:tcBorders>
            <w:shd w:val="clear" w:color="auto" w:fill="auto"/>
            <w:vAlign w:val="bottom"/>
            <w:hideMark/>
          </w:tcPr>
          <w:p w14:paraId="6B8A826E" w14:textId="77777777" w:rsidR="00923902" w:rsidRPr="00923902" w:rsidRDefault="00923902" w:rsidP="009F39A1">
            <w:pPr>
              <w:rPr>
                <w:rFonts w:ascii="Arial" w:hAnsi="Arial" w:cs="Arial"/>
                <w:color w:val="000000" w:themeColor="text1"/>
                <w:sz w:val="18"/>
                <w:szCs w:val="18"/>
              </w:rPr>
            </w:pPr>
            <w:r w:rsidRPr="00923902">
              <w:rPr>
                <w:rFonts w:ascii="Arial" w:hAnsi="Arial" w:cs="Arial"/>
                <w:color w:val="000000" w:themeColor="text1"/>
                <w:sz w:val="18"/>
                <w:szCs w:val="18"/>
              </w:rPr>
              <w:t>Main St. (Yamhill Pump Station)</w:t>
            </w:r>
          </w:p>
        </w:tc>
        <w:tc>
          <w:tcPr>
            <w:tcW w:w="1318" w:type="dxa"/>
            <w:tcBorders>
              <w:top w:val="nil"/>
              <w:left w:val="nil"/>
              <w:bottom w:val="nil"/>
              <w:right w:val="nil"/>
            </w:tcBorders>
            <w:shd w:val="clear" w:color="auto" w:fill="auto"/>
            <w:noWrap/>
            <w:vAlign w:val="bottom"/>
            <w:hideMark/>
          </w:tcPr>
          <w:p w14:paraId="3BBAB364" w14:textId="77777777" w:rsidR="00923902" w:rsidRPr="00923902" w:rsidRDefault="00923902" w:rsidP="009F39A1">
            <w:pPr>
              <w:jc w:val="right"/>
              <w:rPr>
                <w:rFonts w:ascii="Arial" w:hAnsi="Arial" w:cs="Arial"/>
                <w:color w:val="000000" w:themeColor="text1"/>
                <w:sz w:val="18"/>
                <w:szCs w:val="18"/>
              </w:rPr>
            </w:pPr>
          </w:p>
        </w:tc>
        <w:tc>
          <w:tcPr>
            <w:tcW w:w="1318" w:type="dxa"/>
            <w:tcBorders>
              <w:top w:val="nil"/>
              <w:left w:val="nil"/>
              <w:bottom w:val="nil"/>
              <w:right w:val="nil"/>
            </w:tcBorders>
            <w:shd w:val="clear" w:color="auto" w:fill="auto"/>
            <w:noWrap/>
            <w:vAlign w:val="bottom"/>
            <w:hideMark/>
          </w:tcPr>
          <w:p w14:paraId="0480DFDE"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$134,032</w:t>
            </w:r>
          </w:p>
        </w:tc>
        <w:tc>
          <w:tcPr>
            <w:tcW w:w="1224" w:type="dxa"/>
            <w:tcBorders>
              <w:top w:val="nil"/>
              <w:left w:val="nil"/>
              <w:bottom w:val="nil"/>
              <w:right w:val="nil"/>
            </w:tcBorders>
            <w:shd w:val="clear" w:color="auto" w:fill="auto"/>
            <w:noWrap/>
            <w:vAlign w:val="bottom"/>
            <w:hideMark/>
          </w:tcPr>
          <w:p w14:paraId="5F1907A3" w14:textId="7E3B0F45" w:rsidR="00923902" w:rsidRPr="00923902" w:rsidRDefault="00923902"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2</w:t>
            </w:r>
            <w:r w:rsidR="009738B7">
              <w:rPr>
                <w:rFonts w:ascii="Arial" w:hAnsi="Arial" w:cs="Arial"/>
                <w:color w:val="000000" w:themeColor="text1"/>
                <w:sz w:val="18"/>
                <w:szCs w:val="18"/>
              </w:rPr>
              <w:t>6</w:t>
            </w:r>
            <w:r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vAlign w:val="bottom"/>
            <w:hideMark/>
          </w:tcPr>
          <w:p w14:paraId="5E46D6B3" w14:textId="3406433E" w:rsidR="00923902" w:rsidRPr="00923902" w:rsidRDefault="00923902"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$3</w:t>
            </w:r>
            <w:r w:rsidR="009738B7">
              <w:rPr>
                <w:rFonts w:ascii="Arial" w:hAnsi="Arial" w:cs="Arial"/>
                <w:color w:val="000000" w:themeColor="text1"/>
                <w:sz w:val="18"/>
                <w:szCs w:val="18"/>
              </w:rPr>
              <w:t>5</w:t>
            </w:r>
            <w:r w:rsidRPr="00923902">
              <w:rPr>
                <w:rFonts w:ascii="Arial" w:hAnsi="Arial" w:cs="Arial"/>
                <w:color w:val="000000" w:themeColor="text1"/>
                <w:sz w:val="18"/>
                <w:szCs w:val="18"/>
              </w:rPr>
              <w:t>,4</w:t>
            </w:r>
            <w:r w:rsidR="009738B7">
              <w:rPr>
                <w:rFonts w:ascii="Arial" w:hAnsi="Arial" w:cs="Arial"/>
                <w:color w:val="000000" w:themeColor="text1"/>
                <w:sz w:val="18"/>
                <w:szCs w:val="18"/>
              </w:rPr>
              <w:t>36</w:t>
            </w:r>
            <w:r w:rsidRPr="00923902">
              <w:rPr>
                <w:rFonts w:ascii="Arial" w:hAnsi="Arial" w:cs="Arial"/>
                <w:color w:val="000000" w:themeColor="text1"/>
                <w:sz w:val="18"/>
                <w:szCs w:val="18"/>
              </w:rPr>
              <w:t xml:space="preserve"> </w:t>
            </w:r>
          </w:p>
        </w:tc>
      </w:tr>
      <w:tr w:rsidR="00923902" w:rsidRPr="00923902" w14:paraId="5C9F8AE4" w14:textId="77777777" w:rsidTr="009F39A1">
        <w:trPr>
          <w:trHeight w:val="260"/>
        </w:trPr>
        <w:tc>
          <w:tcPr>
            <w:tcW w:w="3939" w:type="dxa"/>
            <w:tcBorders>
              <w:top w:val="nil"/>
              <w:left w:val="nil"/>
              <w:bottom w:val="nil"/>
              <w:right w:val="nil"/>
            </w:tcBorders>
            <w:shd w:val="clear" w:color="000000" w:fill="D9D9D9"/>
            <w:noWrap/>
            <w:vAlign w:val="bottom"/>
            <w:hideMark/>
          </w:tcPr>
          <w:p w14:paraId="192E56B2" w14:textId="77777777" w:rsidR="00923902" w:rsidRPr="00923902" w:rsidRDefault="00923902" w:rsidP="009F39A1">
            <w:pPr>
              <w:rPr>
                <w:rFonts w:ascii="Arial" w:hAnsi="Arial" w:cs="Arial"/>
                <w:b/>
                <w:bCs/>
                <w:color w:val="000000" w:themeColor="text1"/>
                <w:sz w:val="18"/>
                <w:szCs w:val="18"/>
              </w:rPr>
            </w:pPr>
            <w:r w:rsidRPr="00923902">
              <w:rPr>
                <w:rFonts w:ascii="Arial" w:hAnsi="Arial" w:cs="Arial"/>
                <w:b/>
                <w:bCs/>
                <w:color w:val="000000" w:themeColor="text1"/>
                <w:sz w:val="18"/>
                <w:szCs w:val="18"/>
              </w:rPr>
              <w:t>Pumping</w:t>
            </w:r>
          </w:p>
        </w:tc>
        <w:tc>
          <w:tcPr>
            <w:tcW w:w="1318" w:type="dxa"/>
            <w:tcBorders>
              <w:top w:val="nil"/>
              <w:left w:val="nil"/>
              <w:bottom w:val="nil"/>
              <w:right w:val="nil"/>
            </w:tcBorders>
            <w:shd w:val="clear" w:color="000000" w:fill="D9D9D9"/>
            <w:noWrap/>
            <w:vAlign w:val="bottom"/>
            <w:hideMark/>
          </w:tcPr>
          <w:p w14:paraId="21C0BAFD"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xml:space="preserve">  </w:t>
            </w:r>
          </w:p>
        </w:tc>
        <w:tc>
          <w:tcPr>
            <w:tcW w:w="1318" w:type="dxa"/>
            <w:tcBorders>
              <w:top w:val="nil"/>
              <w:left w:val="nil"/>
              <w:bottom w:val="nil"/>
              <w:right w:val="nil"/>
            </w:tcBorders>
            <w:shd w:val="clear" w:color="000000" w:fill="D9D9D9"/>
            <w:noWrap/>
            <w:vAlign w:val="bottom"/>
            <w:hideMark/>
          </w:tcPr>
          <w:p w14:paraId="79D24AF5"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13928B0C"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nil"/>
              <w:left w:val="nil"/>
              <w:bottom w:val="nil"/>
              <w:right w:val="nil"/>
            </w:tcBorders>
            <w:shd w:val="clear" w:color="000000" w:fill="D9D9D9"/>
            <w:noWrap/>
            <w:vAlign w:val="bottom"/>
            <w:hideMark/>
          </w:tcPr>
          <w:p w14:paraId="77ED1084"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r>
      <w:tr w:rsidR="00923902" w:rsidRPr="00923902" w14:paraId="62F119E0" w14:textId="77777777" w:rsidTr="009F39A1">
        <w:trPr>
          <w:trHeight w:val="260"/>
        </w:trPr>
        <w:tc>
          <w:tcPr>
            <w:tcW w:w="3939" w:type="dxa"/>
            <w:tcBorders>
              <w:top w:val="nil"/>
              <w:left w:val="nil"/>
              <w:bottom w:val="nil"/>
              <w:right w:val="nil"/>
            </w:tcBorders>
            <w:shd w:val="clear" w:color="auto" w:fill="auto"/>
            <w:noWrap/>
            <w:vAlign w:val="bottom"/>
            <w:hideMark/>
          </w:tcPr>
          <w:p w14:paraId="4FDCF08C" w14:textId="77777777" w:rsidR="00923902" w:rsidRPr="00923902" w:rsidRDefault="00923902" w:rsidP="009F39A1">
            <w:pPr>
              <w:rPr>
                <w:rFonts w:ascii="Arial" w:hAnsi="Arial" w:cs="Arial"/>
                <w:color w:val="000000" w:themeColor="text1"/>
                <w:sz w:val="18"/>
                <w:szCs w:val="18"/>
              </w:rPr>
            </w:pPr>
            <w:r w:rsidRPr="00923902">
              <w:rPr>
                <w:rFonts w:ascii="Arial" w:hAnsi="Arial" w:cs="Arial"/>
                <w:color w:val="000000" w:themeColor="text1"/>
                <w:sz w:val="18"/>
                <w:szCs w:val="18"/>
              </w:rPr>
              <w:t>Hawn Creek</w:t>
            </w:r>
          </w:p>
        </w:tc>
        <w:tc>
          <w:tcPr>
            <w:tcW w:w="1318" w:type="dxa"/>
            <w:tcBorders>
              <w:top w:val="nil"/>
              <w:left w:val="nil"/>
              <w:bottom w:val="nil"/>
              <w:right w:val="nil"/>
            </w:tcBorders>
            <w:shd w:val="clear" w:color="auto" w:fill="auto"/>
            <w:noWrap/>
            <w:vAlign w:val="bottom"/>
            <w:hideMark/>
          </w:tcPr>
          <w:p w14:paraId="6A050A64" w14:textId="77777777" w:rsidR="00923902" w:rsidRPr="00923902" w:rsidRDefault="00923902" w:rsidP="009F39A1">
            <w:pPr>
              <w:jc w:val="right"/>
              <w:rPr>
                <w:rFonts w:ascii="Arial" w:hAnsi="Arial" w:cs="Arial"/>
                <w:color w:val="000000" w:themeColor="text1"/>
                <w:sz w:val="18"/>
                <w:szCs w:val="18"/>
              </w:rPr>
            </w:pPr>
          </w:p>
        </w:tc>
        <w:tc>
          <w:tcPr>
            <w:tcW w:w="1318" w:type="dxa"/>
            <w:tcBorders>
              <w:top w:val="nil"/>
              <w:left w:val="nil"/>
              <w:bottom w:val="nil"/>
              <w:right w:val="nil"/>
            </w:tcBorders>
            <w:shd w:val="clear" w:color="auto" w:fill="auto"/>
            <w:noWrap/>
            <w:vAlign w:val="bottom"/>
            <w:hideMark/>
          </w:tcPr>
          <w:p w14:paraId="5E6C8EDE"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$380,980</w:t>
            </w:r>
          </w:p>
        </w:tc>
        <w:tc>
          <w:tcPr>
            <w:tcW w:w="1224" w:type="dxa"/>
            <w:tcBorders>
              <w:top w:val="nil"/>
              <w:left w:val="nil"/>
              <w:bottom w:val="single" w:sz="4" w:space="0" w:color="auto"/>
              <w:right w:val="nil"/>
            </w:tcBorders>
            <w:shd w:val="clear" w:color="auto" w:fill="auto"/>
            <w:noWrap/>
            <w:vAlign w:val="bottom"/>
            <w:hideMark/>
          </w:tcPr>
          <w:p w14:paraId="05B1D41C" w14:textId="6F7E5ED2" w:rsidR="00923902" w:rsidRPr="00923902" w:rsidRDefault="009738B7" w:rsidP="009F39A1">
            <w:pPr>
              <w:jc w:val="right"/>
              <w:rPr>
                <w:rFonts w:ascii="Arial" w:hAnsi="Arial" w:cs="Arial"/>
                <w:color w:val="000000" w:themeColor="text1"/>
                <w:sz w:val="18"/>
                <w:szCs w:val="18"/>
              </w:rPr>
            </w:pPr>
            <w:r>
              <w:rPr>
                <w:rFonts w:ascii="Arial" w:hAnsi="Arial" w:cs="Arial"/>
                <w:color w:val="000000" w:themeColor="text1"/>
                <w:sz w:val="18"/>
                <w:szCs w:val="18"/>
              </w:rPr>
              <w:t>0</w:t>
            </w:r>
            <w:r w:rsidR="00923902" w:rsidRPr="00923902">
              <w:rPr>
                <w:rFonts w:ascii="Arial" w:hAnsi="Arial" w:cs="Arial"/>
                <w:color w:val="000000" w:themeColor="text1"/>
                <w:sz w:val="18"/>
                <w:szCs w:val="18"/>
              </w:rPr>
              <w:t>%</w:t>
            </w:r>
          </w:p>
        </w:tc>
        <w:tc>
          <w:tcPr>
            <w:tcW w:w="1224" w:type="dxa"/>
            <w:tcBorders>
              <w:top w:val="nil"/>
              <w:left w:val="nil"/>
              <w:bottom w:val="nil"/>
              <w:right w:val="nil"/>
            </w:tcBorders>
            <w:shd w:val="clear" w:color="auto" w:fill="auto"/>
            <w:noWrap/>
            <w:vAlign w:val="bottom"/>
            <w:hideMark/>
          </w:tcPr>
          <w:p w14:paraId="1222FA82" w14:textId="0B9D82F8" w:rsidR="00923902" w:rsidRPr="00923902" w:rsidRDefault="00923902" w:rsidP="009738B7">
            <w:pPr>
              <w:jc w:val="right"/>
              <w:rPr>
                <w:rFonts w:ascii="Arial" w:hAnsi="Arial" w:cs="Arial"/>
                <w:color w:val="000000" w:themeColor="text1"/>
                <w:sz w:val="18"/>
                <w:szCs w:val="18"/>
              </w:rPr>
            </w:pPr>
            <w:r w:rsidRPr="00923902">
              <w:rPr>
                <w:rFonts w:ascii="Arial" w:hAnsi="Arial" w:cs="Arial"/>
                <w:color w:val="000000" w:themeColor="text1"/>
                <w:sz w:val="18"/>
                <w:szCs w:val="18"/>
              </w:rPr>
              <w:t>$</w:t>
            </w:r>
            <w:r w:rsidR="009738B7">
              <w:rPr>
                <w:rFonts w:ascii="Arial" w:hAnsi="Arial" w:cs="Arial"/>
                <w:color w:val="000000" w:themeColor="text1"/>
                <w:sz w:val="18"/>
                <w:szCs w:val="18"/>
              </w:rPr>
              <w:t>0</w:t>
            </w:r>
            <w:r w:rsidRPr="00923902">
              <w:rPr>
                <w:rFonts w:ascii="Arial" w:hAnsi="Arial" w:cs="Arial"/>
                <w:color w:val="000000" w:themeColor="text1"/>
                <w:sz w:val="18"/>
                <w:szCs w:val="18"/>
              </w:rPr>
              <w:t xml:space="preserve"> </w:t>
            </w:r>
          </w:p>
        </w:tc>
      </w:tr>
      <w:tr w:rsidR="00923902" w:rsidRPr="00923902" w14:paraId="7D92D83B" w14:textId="77777777" w:rsidTr="009F39A1">
        <w:trPr>
          <w:trHeight w:val="282"/>
        </w:trPr>
        <w:tc>
          <w:tcPr>
            <w:tcW w:w="3939" w:type="dxa"/>
            <w:tcBorders>
              <w:top w:val="single" w:sz="4" w:space="0" w:color="auto"/>
              <w:left w:val="nil"/>
              <w:bottom w:val="single" w:sz="8" w:space="0" w:color="auto"/>
              <w:right w:val="nil"/>
            </w:tcBorders>
            <w:shd w:val="clear" w:color="auto" w:fill="auto"/>
            <w:noWrap/>
            <w:vAlign w:val="bottom"/>
            <w:hideMark/>
          </w:tcPr>
          <w:p w14:paraId="097FBE56" w14:textId="77777777" w:rsidR="00923902" w:rsidRPr="00923902" w:rsidRDefault="00923902" w:rsidP="009F39A1">
            <w:pPr>
              <w:rPr>
                <w:rFonts w:ascii="Arial" w:hAnsi="Arial" w:cs="Arial"/>
                <w:b/>
                <w:bCs/>
                <w:color w:val="000000" w:themeColor="text1"/>
                <w:sz w:val="18"/>
                <w:szCs w:val="18"/>
              </w:rPr>
            </w:pPr>
            <w:r w:rsidRPr="00923902">
              <w:rPr>
                <w:rFonts w:ascii="Arial" w:hAnsi="Arial" w:cs="Arial"/>
                <w:b/>
                <w:bCs/>
                <w:color w:val="000000" w:themeColor="text1"/>
                <w:sz w:val="18"/>
                <w:szCs w:val="18"/>
              </w:rPr>
              <w:t>Total</w:t>
            </w:r>
          </w:p>
        </w:tc>
        <w:tc>
          <w:tcPr>
            <w:tcW w:w="1318" w:type="dxa"/>
            <w:tcBorders>
              <w:top w:val="single" w:sz="4" w:space="0" w:color="auto"/>
              <w:left w:val="nil"/>
              <w:bottom w:val="single" w:sz="8" w:space="0" w:color="auto"/>
              <w:right w:val="nil"/>
            </w:tcBorders>
            <w:shd w:val="clear" w:color="auto" w:fill="auto"/>
            <w:noWrap/>
            <w:vAlign w:val="bottom"/>
            <w:hideMark/>
          </w:tcPr>
          <w:p w14:paraId="04B5B1B4" w14:textId="12EFF3F3" w:rsidR="00923902" w:rsidRPr="00923902" w:rsidRDefault="00923902" w:rsidP="009F39A1">
            <w:pPr>
              <w:jc w:val="right"/>
              <w:rPr>
                <w:rFonts w:ascii="Arial" w:hAnsi="Arial" w:cs="Arial"/>
                <w:b/>
                <w:bCs/>
                <w:color w:val="000000" w:themeColor="text1"/>
                <w:sz w:val="18"/>
                <w:szCs w:val="18"/>
              </w:rPr>
            </w:pPr>
          </w:p>
        </w:tc>
        <w:tc>
          <w:tcPr>
            <w:tcW w:w="1318" w:type="dxa"/>
            <w:tcBorders>
              <w:top w:val="single" w:sz="4" w:space="0" w:color="auto"/>
              <w:left w:val="nil"/>
              <w:bottom w:val="single" w:sz="8" w:space="0" w:color="auto"/>
              <w:right w:val="nil"/>
            </w:tcBorders>
            <w:shd w:val="clear" w:color="auto" w:fill="auto"/>
            <w:noWrap/>
            <w:vAlign w:val="bottom"/>
            <w:hideMark/>
          </w:tcPr>
          <w:p w14:paraId="496EEC4E" w14:textId="6CCC1A5D" w:rsidR="00923902" w:rsidRPr="00923902" w:rsidRDefault="00DB69A0" w:rsidP="009F39A1">
            <w:pPr>
              <w:jc w:val="right"/>
              <w:rPr>
                <w:rFonts w:ascii="Arial" w:hAnsi="Arial" w:cs="Arial"/>
                <w:b/>
                <w:bCs/>
                <w:color w:val="000000" w:themeColor="text1"/>
                <w:sz w:val="18"/>
                <w:szCs w:val="18"/>
              </w:rPr>
            </w:pPr>
            <w:r>
              <w:rPr>
                <w:rFonts w:ascii="Arial" w:hAnsi="Arial" w:cs="Arial"/>
                <w:b/>
                <w:bCs/>
                <w:color w:val="000000" w:themeColor="text1"/>
                <w:sz w:val="18"/>
                <w:szCs w:val="18"/>
              </w:rPr>
              <w:t>$2,431,635</w:t>
            </w:r>
            <w:r w:rsidR="00923902" w:rsidRPr="00923902">
              <w:rPr>
                <w:rFonts w:ascii="Arial" w:hAnsi="Arial" w:cs="Arial"/>
                <w:b/>
                <w:bCs/>
                <w:color w:val="000000" w:themeColor="text1"/>
                <w:sz w:val="18"/>
                <w:szCs w:val="18"/>
              </w:rPr>
              <w:t> </w:t>
            </w:r>
          </w:p>
        </w:tc>
        <w:tc>
          <w:tcPr>
            <w:tcW w:w="1224" w:type="dxa"/>
            <w:tcBorders>
              <w:top w:val="single" w:sz="4" w:space="0" w:color="auto"/>
              <w:left w:val="nil"/>
              <w:bottom w:val="single" w:sz="8" w:space="0" w:color="auto"/>
              <w:right w:val="nil"/>
            </w:tcBorders>
            <w:shd w:val="clear" w:color="auto" w:fill="auto"/>
            <w:noWrap/>
            <w:vAlign w:val="bottom"/>
            <w:hideMark/>
          </w:tcPr>
          <w:p w14:paraId="3F6C42BB" w14:textId="77777777" w:rsidR="00923902" w:rsidRPr="00923902" w:rsidRDefault="00923902" w:rsidP="009F39A1">
            <w:pPr>
              <w:jc w:val="right"/>
              <w:rPr>
                <w:rFonts w:ascii="Arial" w:hAnsi="Arial" w:cs="Arial"/>
                <w:color w:val="000000" w:themeColor="text1"/>
                <w:sz w:val="18"/>
                <w:szCs w:val="18"/>
              </w:rPr>
            </w:pPr>
            <w:r w:rsidRPr="00923902">
              <w:rPr>
                <w:rFonts w:ascii="Arial" w:hAnsi="Arial" w:cs="Arial"/>
                <w:color w:val="000000" w:themeColor="text1"/>
                <w:sz w:val="18"/>
                <w:szCs w:val="18"/>
              </w:rPr>
              <w:t> </w:t>
            </w:r>
          </w:p>
        </w:tc>
        <w:tc>
          <w:tcPr>
            <w:tcW w:w="1224" w:type="dxa"/>
            <w:tcBorders>
              <w:top w:val="single" w:sz="4" w:space="0" w:color="auto"/>
              <w:left w:val="nil"/>
              <w:bottom w:val="single" w:sz="8" w:space="0" w:color="auto"/>
              <w:right w:val="nil"/>
            </w:tcBorders>
            <w:shd w:val="clear" w:color="auto" w:fill="auto"/>
            <w:noWrap/>
            <w:vAlign w:val="bottom"/>
            <w:hideMark/>
          </w:tcPr>
          <w:p w14:paraId="3748C3F8" w14:textId="1A40C4B3" w:rsidR="00923902" w:rsidRPr="00923902" w:rsidRDefault="009738B7" w:rsidP="009F39A1">
            <w:pPr>
              <w:jc w:val="right"/>
              <w:rPr>
                <w:rFonts w:ascii="Arial" w:hAnsi="Arial" w:cs="Arial"/>
                <w:b/>
                <w:bCs/>
                <w:color w:val="000000" w:themeColor="text1"/>
                <w:sz w:val="18"/>
                <w:szCs w:val="18"/>
              </w:rPr>
            </w:pPr>
            <w:r>
              <w:rPr>
                <w:rFonts w:ascii="Arial" w:hAnsi="Arial" w:cs="Arial"/>
                <w:b/>
                <w:bCs/>
                <w:color w:val="000000" w:themeColor="text1"/>
                <w:sz w:val="18"/>
                <w:szCs w:val="18"/>
              </w:rPr>
              <w:t>$542,166</w:t>
            </w:r>
          </w:p>
        </w:tc>
      </w:tr>
      <w:tr w:rsidR="00923902" w:rsidRPr="00923902" w14:paraId="4CC1600A" w14:textId="77777777" w:rsidTr="00923902">
        <w:trPr>
          <w:trHeight w:val="260"/>
        </w:trPr>
        <w:tc>
          <w:tcPr>
            <w:tcW w:w="5257" w:type="dxa"/>
            <w:gridSpan w:val="2"/>
            <w:tcBorders>
              <w:top w:val="nil"/>
              <w:left w:val="nil"/>
              <w:bottom w:val="nil"/>
              <w:right w:val="nil"/>
            </w:tcBorders>
            <w:shd w:val="clear" w:color="auto" w:fill="auto"/>
            <w:noWrap/>
            <w:vAlign w:val="bottom"/>
            <w:hideMark/>
          </w:tcPr>
          <w:p w14:paraId="057E5928" w14:textId="77777777" w:rsidR="00923902" w:rsidRPr="00923902" w:rsidRDefault="00923902" w:rsidP="00923902">
            <w:pPr>
              <w:rPr>
                <w:rFonts w:ascii="Arial" w:hAnsi="Arial" w:cs="Arial"/>
                <w:color w:val="000000" w:themeColor="text1"/>
                <w:sz w:val="18"/>
                <w:szCs w:val="18"/>
              </w:rPr>
            </w:pPr>
            <w:r w:rsidRPr="00923902">
              <w:rPr>
                <w:rFonts w:ascii="Arial" w:hAnsi="Arial" w:cs="Arial"/>
                <w:color w:val="000000" w:themeColor="text1"/>
                <w:sz w:val="18"/>
                <w:szCs w:val="18"/>
              </w:rPr>
              <w:t>Source: Costs from Carlton Depreciation Schedule 2016</w:t>
            </w:r>
          </w:p>
        </w:tc>
        <w:tc>
          <w:tcPr>
            <w:tcW w:w="1318" w:type="dxa"/>
            <w:tcBorders>
              <w:top w:val="nil"/>
              <w:left w:val="nil"/>
              <w:bottom w:val="nil"/>
              <w:right w:val="nil"/>
            </w:tcBorders>
            <w:shd w:val="clear" w:color="auto" w:fill="auto"/>
            <w:noWrap/>
            <w:vAlign w:val="bottom"/>
            <w:hideMark/>
          </w:tcPr>
          <w:p w14:paraId="5B2F019C" w14:textId="77777777" w:rsidR="00923902" w:rsidRPr="00923902" w:rsidRDefault="00923902" w:rsidP="00923902">
            <w:pPr>
              <w:rPr>
                <w:rFonts w:ascii="Arial" w:hAnsi="Arial" w:cs="Arial"/>
                <w:color w:val="000000" w:themeColor="text1"/>
                <w:sz w:val="18"/>
                <w:szCs w:val="18"/>
              </w:rPr>
            </w:pPr>
          </w:p>
        </w:tc>
        <w:tc>
          <w:tcPr>
            <w:tcW w:w="1224" w:type="dxa"/>
            <w:tcBorders>
              <w:top w:val="nil"/>
              <w:left w:val="nil"/>
              <w:bottom w:val="nil"/>
              <w:right w:val="nil"/>
            </w:tcBorders>
            <w:shd w:val="clear" w:color="auto" w:fill="auto"/>
            <w:noWrap/>
            <w:vAlign w:val="bottom"/>
            <w:hideMark/>
          </w:tcPr>
          <w:p w14:paraId="355DB2B6"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669DBF50" w14:textId="1A6E5FA9" w:rsidR="00923902" w:rsidRPr="00923902" w:rsidRDefault="00923902" w:rsidP="00923902">
            <w:pPr>
              <w:jc w:val="right"/>
              <w:rPr>
                <w:rFonts w:ascii="Arial" w:hAnsi="Arial" w:cs="Arial"/>
                <w:color w:val="000000" w:themeColor="text1"/>
                <w:sz w:val="18"/>
                <w:szCs w:val="18"/>
              </w:rPr>
            </w:pPr>
          </w:p>
        </w:tc>
      </w:tr>
      <w:tr w:rsidR="00923902" w:rsidRPr="00923902" w14:paraId="0E8CBC1C" w14:textId="77777777" w:rsidTr="00923902">
        <w:trPr>
          <w:trHeight w:val="282"/>
        </w:trPr>
        <w:tc>
          <w:tcPr>
            <w:tcW w:w="6575" w:type="dxa"/>
            <w:gridSpan w:val="3"/>
            <w:tcBorders>
              <w:top w:val="nil"/>
              <w:left w:val="nil"/>
              <w:bottom w:val="nil"/>
              <w:right w:val="nil"/>
            </w:tcBorders>
            <w:shd w:val="clear" w:color="auto" w:fill="auto"/>
            <w:noWrap/>
            <w:vAlign w:val="bottom"/>
            <w:hideMark/>
          </w:tcPr>
          <w:p w14:paraId="318E42C4" w14:textId="77777777" w:rsidR="00923902" w:rsidRPr="00923902" w:rsidRDefault="00923902" w:rsidP="00923902">
            <w:pPr>
              <w:rPr>
                <w:rFonts w:ascii="Arial" w:hAnsi="Arial" w:cs="Arial"/>
                <w:color w:val="000000" w:themeColor="text1"/>
                <w:sz w:val="18"/>
                <w:szCs w:val="18"/>
              </w:rPr>
            </w:pPr>
            <w:r w:rsidRPr="00923902">
              <w:rPr>
                <w:rFonts w:ascii="Arial" w:hAnsi="Arial" w:cs="Arial"/>
                <w:color w:val="000000" w:themeColor="text1"/>
                <w:sz w:val="18"/>
                <w:szCs w:val="18"/>
                <w:vertAlign w:val="superscript"/>
              </w:rPr>
              <w:t xml:space="preserve">1 </w:t>
            </w:r>
            <w:r w:rsidRPr="00923902">
              <w:rPr>
                <w:rFonts w:ascii="Arial" w:hAnsi="Arial" w:cs="Arial"/>
                <w:color w:val="000000" w:themeColor="text1"/>
                <w:sz w:val="18"/>
                <w:szCs w:val="18"/>
              </w:rPr>
              <w:t>Discounted by portion of pipe replaced; excludes contributed plant</w:t>
            </w:r>
          </w:p>
        </w:tc>
        <w:tc>
          <w:tcPr>
            <w:tcW w:w="1224" w:type="dxa"/>
            <w:tcBorders>
              <w:top w:val="nil"/>
              <w:left w:val="nil"/>
              <w:bottom w:val="nil"/>
              <w:right w:val="nil"/>
            </w:tcBorders>
            <w:shd w:val="clear" w:color="auto" w:fill="auto"/>
            <w:noWrap/>
            <w:vAlign w:val="bottom"/>
            <w:hideMark/>
          </w:tcPr>
          <w:p w14:paraId="39A41898" w14:textId="77777777" w:rsidR="00923902" w:rsidRPr="00923902" w:rsidRDefault="00923902" w:rsidP="00923902">
            <w:pPr>
              <w:rPr>
                <w:rFonts w:ascii="Arial" w:hAnsi="Arial" w:cs="Arial"/>
                <w:color w:val="000000" w:themeColor="text1"/>
                <w:sz w:val="18"/>
                <w:szCs w:val="18"/>
              </w:rPr>
            </w:pPr>
          </w:p>
        </w:tc>
        <w:tc>
          <w:tcPr>
            <w:tcW w:w="1224" w:type="dxa"/>
            <w:tcBorders>
              <w:top w:val="nil"/>
              <w:left w:val="nil"/>
              <w:bottom w:val="nil"/>
              <w:right w:val="nil"/>
            </w:tcBorders>
            <w:shd w:val="clear" w:color="auto" w:fill="auto"/>
            <w:noWrap/>
            <w:vAlign w:val="bottom"/>
            <w:hideMark/>
          </w:tcPr>
          <w:p w14:paraId="67504C51" w14:textId="77777777" w:rsidR="00923902" w:rsidRPr="00923902" w:rsidRDefault="00923902" w:rsidP="00923902">
            <w:pPr>
              <w:rPr>
                <w:rFonts w:ascii="Times New Roman" w:hAnsi="Times New Roman"/>
                <w:color w:val="000000" w:themeColor="text1"/>
                <w:sz w:val="20"/>
              </w:rPr>
            </w:pPr>
          </w:p>
        </w:tc>
      </w:tr>
      <w:tr w:rsidR="00923902" w:rsidRPr="00923902" w14:paraId="351A47B6" w14:textId="77777777" w:rsidTr="00923902">
        <w:trPr>
          <w:trHeight w:val="282"/>
        </w:trPr>
        <w:tc>
          <w:tcPr>
            <w:tcW w:w="3939" w:type="dxa"/>
            <w:tcBorders>
              <w:top w:val="nil"/>
              <w:left w:val="nil"/>
              <w:bottom w:val="nil"/>
              <w:right w:val="nil"/>
            </w:tcBorders>
            <w:shd w:val="clear" w:color="auto" w:fill="auto"/>
            <w:noWrap/>
            <w:vAlign w:val="bottom"/>
            <w:hideMark/>
          </w:tcPr>
          <w:p w14:paraId="48193B3D" w14:textId="77777777" w:rsidR="00923902" w:rsidRPr="00923902" w:rsidRDefault="00923902" w:rsidP="00923902">
            <w:pPr>
              <w:rPr>
                <w:rFonts w:ascii="Arial" w:hAnsi="Arial" w:cs="Arial"/>
                <w:color w:val="000000" w:themeColor="text1"/>
                <w:sz w:val="18"/>
                <w:szCs w:val="18"/>
              </w:rPr>
            </w:pPr>
            <w:r w:rsidRPr="00923902">
              <w:rPr>
                <w:rFonts w:ascii="Arial" w:hAnsi="Arial" w:cs="Arial"/>
                <w:color w:val="000000" w:themeColor="text1"/>
                <w:sz w:val="18"/>
                <w:szCs w:val="18"/>
                <w:vertAlign w:val="superscript"/>
              </w:rPr>
              <w:t>2</w:t>
            </w:r>
            <w:r w:rsidRPr="00923902">
              <w:rPr>
                <w:rFonts w:ascii="Arial" w:hAnsi="Arial" w:cs="Arial"/>
                <w:color w:val="000000" w:themeColor="text1"/>
                <w:sz w:val="18"/>
                <w:szCs w:val="18"/>
              </w:rPr>
              <w:t xml:space="preserve"> Net of grant funding</w:t>
            </w:r>
          </w:p>
        </w:tc>
        <w:tc>
          <w:tcPr>
            <w:tcW w:w="1318" w:type="dxa"/>
            <w:tcBorders>
              <w:top w:val="nil"/>
              <w:left w:val="nil"/>
              <w:bottom w:val="nil"/>
              <w:right w:val="nil"/>
            </w:tcBorders>
            <w:shd w:val="clear" w:color="auto" w:fill="auto"/>
            <w:noWrap/>
            <w:vAlign w:val="bottom"/>
            <w:hideMark/>
          </w:tcPr>
          <w:p w14:paraId="0B026E6D" w14:textId="77777777" w:rsidR="00923902" w:rsidRPr="00923902" w:rsidRDefault="00923902" w:rsidP="00923902">
            <w:pPr>
              <w:rPr>
                <w:rFonts w:ascii="Arial" w:hAnsi="Arial" w:cs="Arial"/>
                <w:color w:val="000000" w:themeColor="text1"/>
                <w:sz w:val="18"/>
                <w:szCs w:val="18"/>
              </w:rPr>
            </w:pPr>
          </w:p>
        </w:tc>
        <w:tc>
          <w:tcPr>
            <w:tcW w:w="1318" w:type="dxa"/>
            <w:tcBorders>
              <w:top w:val="nil"/>
              <w:left w:val="nil"/>
              <w:bottom w:val="nil"/>
              <w:right w:val="nil"/>
            </w:tcBorders>
            <w:shd w:val="clear" w:color="auto" w:fill="auto"/>
            <w:noWrap/>
            <w:vAlign w:val="bottom"/>
            <w:hideMark/>
          </w:tcPr>
          <w:p w14:paraId="77530836"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476EFDCC" w14:textId="77777777" w:rsidR="00923902" w:rsidRPr="00923902" w:rsidRDefault="00923902" w:rsidP="00923902">
            <w:pPr>
              <w:rPr>
                <w:rFonts w:ascii="Times New Roman" w:hAnsi="Times New Roman"/>
                <w:color w:val="000000" w:themeColor="text1"/>
                <w:sz w:val="20"/>
              </w:rPr>
            </w:pPr>
          </w:p>
        </w:tc>
        <w:tc>
          <w:tcPr>
            <w:tcW w:w="1224" w:type="dxa"/>
            <w:tcBorders>
              <w:top w:val="nil"/>
              <w:left w:val="nil"/>
              <w:bottom w:val="nil"/>
              <w:right w:val="nil"/>
            </w:tcBorders>
            <w:shd w:val="clear" w:color="auto" w:fill="auto"/>
            <w:noWrap/>
            <w:vAlign w:val="bottom"/>
            <w:hideMark/>
          </w:tcPr>
          <w:p w14:paraId="080B5075" w14:textId="77777777" w:rsidR="00923902" w:rsidRPr="00923902" w:rsidRDefault="00923902" w:rsidP="00923902">
            <w:pPr>
              <w:rPr>
                <w:rFonts w:ascii="Times New Roman" w:hAnsi="Times New Roman"/>
                <w:color w:val="000000" w:themeColor="text1"/>
                <w:sz w:val="20"/>
              </w:rPr>
            </w:pPr>
          </w:p>
        </w:tc>
      </w:tr>
    </w:tbl>
    <w:p w14:paraId="42B16040" w14:textId="77777777" w:rsidR="00E04353" w:rsidRDefault="00E04353" w:rsidP="00E04353">
      <w:pPr>
        <w:pStyle w:val="Heading5"/>
        <w:jc w:val="both"/>
      </w:pPr>
      <w:r>
        <w:rPr>
          <w:sz w:val="23"/>
        </w:rPr>
        <w:lastRenderedPageBreak/>
        <w:t>Improvement Fee Cost Basis</w:t>
      </w:r>
    </w:p>
    <w:p w14:paraId="2BC6C5EF" w14:textId="79FAF329" w:rsidR="009F39A1" w:rsidRDefault="00E04353" w:rsidP="009F39A1">
      <w:pPr>
        <w:pStyle w:val="BodyText"/>
      </w:pPr>
      <w:r>
        <w:t xml:space="preserve">Planned </w:t>
      </w:r>
      <w:r w:rsidRPr="00AD79C1">
        <w:t xml:space="preserve">future capacity-increasing improvements </w:t>
      </w:r>
      <w:r>
        <w:t>are shown in Table 3.</w:t>
      </w:r>
      <w:r w:rsidRPr="00AD79C1">
        <w:t xml:space="preserve">  System capacity may be expanded through the upgrade of existing facilities or the co</w:t>
      </w:r>
      <w:r w:rsidR="00313995">
        <w:t xml:space="preserve">nstruction of new facilities.   </w:t>
      </w:r>
      <w:r w:rsidR="005D582C">
        <w:t>The SDC</w:t>
      </w:r>
      <w:r w:rsidR="00837E3B">
        <w:t>-eligible</w:t>
      </w:r>
      <w:r w:rsidR="005D582C">
        <w:t xml:space="preserve"> portion of c</w:t>
      </w:r>
      <w:r w:rsidR="009F39A1">
        <w:t xml:space="preserve">ollection system improvements </w:t>
      </w:r>
      <w:r w:rsidR="005D582C">
        <w:t xml:space="preserve">is based on growth’s share of </w:t>
      </w:r>
      <w:r w:rsidR="009F39A1">
        <w:t xml:space="preserve">future ERUs.  The </w:t>
      </w:r>
      <w:r w:rsidR="005D582C">
        <w:t>SDC portion of each</w:t>
      </w:r>
      <w:r w:rsidR="009F39A1">
        <w:t xml:space="preserve"> wastewater treatment plant </w:t>
      </w:r>
      <w:r w:rsidR="00B53733" w:rsidRPr="00997197">
        <w:t xml:space="preserve">improvement </w:t>
      </w:r>
      <w:r w:rsidR="009F39A1">
        <w:t xml:space="preserve">is based on growth’s share of </w:t>
      </w:r>
      <w:r w:rsidR="005D582C">
        <w:t>the</w:t>
      </w:r>
      <w:r w:rsidR="009F39A1">
        <w:t xml:space="preserve"> relevant </w:t>
      </w:r>
      <w:r w:rsidR="005D582C">
        <w:t xml:space="preserve">facility </w:t>
      </w:r>
      <w:r w:rsidR="009F39A1">
        <w:t xml:space="preserve">design criteria </w:t>
      </w:r>
      <w:r w:rsidR="005D582C">
        <w:t>from</w:t>
      </w:r>
      <w:r w:rsidR="009F39A1">
        <w:t xml:space="preserve"> Table 1.</w:t>
      </w:r>
    </w:p>
    <w:tbl>
      <w:tblPr>
        <w:tblW w:w="8808" w:type="dxa"/>
        <w:tblLook w:val="04A0" w:firstRow="1" w:lastRow="0" w:firstColumn="1" w:lastColumn="0" w:noHBand="0" w:noVBand="1"/>
      </w:tblPr>
      <w:tblGrid>
        <w:gridCol w:w="4860"/>
        <w:gridCol w:w="981"/>
        <w:gridCol w:w="1188"/>
        <w:gridCol w:w="685"/>
        <w:gridCol w:w="1094"/>
      </w:tblGrid>
      <w:tr w:rsidR="00FA6648" w:rsidRPr="00C5560D" w14:paraId="421D8FA8" w14:textId="77777777" w:rsidTr="005D582C">
        <w:trPr>
          <w:trHeight w:val="252"/>
        </w:trPr>
        <w:tc>
          <w:tcPr>
            <w:tcW w:w="4860" w:type="dxa"/>
            <w:tcBorders>
              <w:top w:val="nil"/>
              <w:left w:val="nil"/>
              <w:bottom w:val="nil"/>
              <w:right w:val="nil"/>
            </w:tcBorders>
            <w:shd w:val="clear" w:color="auto" w:fill="auto"/>
            <w:noWrap/>
            <w:vAlign w:val="bottom"/>
            <w:hideMark/>
          </w:tcPr>
          <w:p w14:paraId="3B6AEA8C" w14:textId="77777777" w:rsidR="00FA6648" w:rsidRPr="00C5560D" w:rsidRDefault="00FA6648" w:rsidP="00DE6E66">
            <w:pPr>
              <w:rPr>
                <w:rFonts w:ascii="Arial" w:hAnsi="Arial" w:cs="Arial"/>
                <w:b/>
                <w:bCs/>
                <w:color w:val="000000" w:themeColor="text1"/>
                <w:sz w:val="16"/>
                <w:szCs w:val="16"/>
              </w:rPr>
            </w:pPr>
            <w:r w:rsidRPr="00C5560D">
              <w:rPr>
                <w:rFonts w:ascii="Arial" w:hAnsi="Arial" w:cs="Arial"/>
                <w:b/>
                <w:bCs/>
                <w:color w:val="000000" w:themeColor="text1"/>
                <w:sz w:val="16"/>
                <w:szCs w:val="16"/>
              </w:rPr>
              <w:t>Table 3</w:t>
            </w:r>
          </w:p>
        </w:tc>
        <w:tc>
          <w:tcPr>
            <w:tcW w:w="981" w:type="dxa"/>
            <w:tcBorders>
              <w:top w:val="nil"/>
              <w:left w:val="nil"/>
              <w:bottom w:val="nil"/>
              <w:right w:val="nil"/>
            </w:tcBorders>
            <w:shd w:val="clear" w:color="auto" w:fill="auto"/>
            <w:noWrap/>
            <w:vAlign w:val="bottom"/>
            <w:hideMark/>
          </w:tcPr>
          <w:p w14:paraId="0FB4D5F4" w14:textId="77777777" w:rsidR="00FA6648" w:rsidRPr="00C5560D" w:rsidRDefault="00FA6648" w:rsidP="00DE6E66">
            <w:pPr>
              <w:rPr>
                <w:rFonts w:ascii="Arial" w:hAnsi="Arial" w:cs="Arial"/>
                <w:b/>
                <w:bCs/>
                <w:color w:val="000000" w:themeColor="text1"/>
                <w:sz w:val="16"/>
                <w:szCs w:val="16"/>
              </w:rPr>
            </w:pPr>
          </w:p>
        </w:tc>
        <w:tc>
          <w:tcPr>
            <w:tcW w:w="1188" w:type="dxa"/>
            <w:tcBorders>
              <w:top w:val="nil"/>
              <w:left w:val="nil"/>
              <w:bottom w:val="nil"/>
              <w:right w:val="nil"/>
            </w:tcBorders>
            <w:shd w:val="clear" w:color="auto" w:fill="auto"/>
            <w:noWrap/>
            <w:vAlign w:val="bottom"/>
            <w:hideMark/>
          </w:tcPr>
          <w:p w14:paraId="0D202383" w14:textId="77777777" w:rsidR="00FA6648" w:rsidRPr="00C5560D" w:rsidRDefault="00FA6648" w:rsidP="00DE6E66">
            <w:pPr>
              <w:rPr>
                <w:rFonts w:ascii="Times New Roman" w:hAnsi="Times New Roman"/>
                <w:color w:val="000000" w:themeColor="text1"/>
                <w:sz w:val="16"/>
                <w:szCs w:val="16"/>
              </w:rPr>
            </w:pPr>
          </w:p>
        </w:tc>
        <w:tc>
          <w:tcPr>
            <w:tcW w:w="685" w:type="dxa"/>
            <w:tcBorders>
              <w:top w:val="nil"/>
              <w:left w:val="nil"/>
              <w:bottom w:val="nil"/>
              <w:right w:val="nil"/>
            </w:tcBorders>
            <w:shd w:val="clear" w:color="auto" w:fill="auto"/>
            <w:noWrap/>
            <w:vAlign w:val="bottom"/>
            <w:hideMark/>
          </w:tcPr>
          <w:p w14:paraId="24FF2312" w14:textId="77777777" w:rsidR="00FA6648" w:rsidRPr="00C5560D" w:rsidRDefault="00FA6648" w:rsidP="00DE6E66">
            <w:pPr>
              <w:rPr>
                <w:rFonts w:ascii="Times New Roman" w:hAnsi="Times New Roman"/>
                <w:color w:val="000000" w:themeColor="text1"/>
                <w:sz w:val="16"/>
                <w:szCs w:val="16"/>
              </w:rPr>
            </w:pPr>
          </w:p>
        </w:tc>
        <w:tc>
          <w:tcPr>
            <w:tcW w:w="1094" w:type="dxa"/>
            <w:tcBorders>
              <w:top w:val="nil"/>
              <w:left w:val="nil"/>
              <w:bottom w:val="nil"/>
              <w:right w:val="nil"/>
            </w:tcBorders>
            <w:shd w:val="clear" w:color="auto" w:fill="auto"/>
            <w:noWrap/>
            <w:vAlign w:val="bottom"/>
            <w:hideMark/>
          </w:tcPr>
          <w:p w14:paraId="6AF13224" w14:textId="77777777" w:rsidR="00FA6648" w:rsidRPr="00C5560D" w:rsidRDefault="00FA6648" w:rsidP="00DE6E66">
            <w:pPr>
              <w:rPr>
                <w:rFonts w:ascii="Times New Roman" w:hAnsi="Times New Roman"/>
                <w:color w:val="000000" w:themeColor="text1"/>
                <w:sz w:val="16"/>
                <w:szCs w:val="16"/>
              </w:rPr>
            </w:pPr>
          </w:p>
        </w:tc>
      </w:tr>
      <w:tr w:rsidR="00FA6648" w:rsidRPr="00C5560D" w14:paraId="72A8C7F7" w14:textId="77777777" w:rsidTr="005D582C">
        <w:trPr>
          <w:trHeight w:val="252"/>
        </w:trPr>
        <w:tc>
          <w:tcPr>
            <w:tcW w:w="4860" w:type="dxa"/>
            <w:tcBorders>
              <w:top w:val="nil"/>
              <w:left w:val="nil"/>
              <w:bottom w:val="nil"/>
              <w:right w:val="nil"/>
            </w:tcBorders>
            <w:shd w:val="clear" w:color="auto" w:fill="auto"/>
            <w:noWrap/>
            <w:vAlign w:val="center"/>
            <w:hideMark/>
          </w:tcPr>
          <w:p w14:paraId="72BD7EC2" w14:textId="1569EE16"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Improvement Fee Cost Basis</w:t>
            </w:r>
            <w:r w:rsidR="005D582C">
              <w:rPr>
                <w:rFonts w:ascii="Arial" w:hAnsi="Arial" w:cs="Arial"/>
                <w:color w:val="000000" w:themeColor="text1"/>
                <w:sz w:val="16"/>
                <w:szCs w:val="16"/>
              </w:rPr>
              <w:t xml:space="preserve"> and SDC Project List</w:t>
            </w:r>
          </w:p>
        </w:tc>
        <w:tc>
          <w:tcPr>
            <w:tcW w:w="981" w:type="dxa"/>
            <w:tcBorders>
              <w:top w:val="nil"/>
              <w:left w:val="nil"/>
              <w:bottom w:val="nil"/>
              <w:right w:val="nil"/>
            </w:tcBorders>
            <w:shd w:val="clear" w:color="auto" w:fill="auto"/>
            <w:noWrap/>
            <w:vAlign w:val="bottom"/>
            <w:hideMark/>
          </w:tcPr>
          <w:p w14:paraId="6AB4CCC3" w14:textId="77777777" w:rsidR="00FA6648" w:rsidRPr="00C5560D" w:rsidRDefault="00FA6648" w:rsidP="00DE6E66">
            <w:pPr>
              <w:rPr>
                <w:rFonts w:ascii="Arial" w:hAnsi="Arial" w:cs="Arial"/>
                <w:color w:val="000000" w:themeColor="text1"/>
                <w:sz w:val="16"/>
                <w:szCs w:val="16"/>
              </w:rPr>
            </w:pPr>
          </w:p>
        </w:tc>
        <w:tc>
          <w:tcPr>
            <w:tcW w:w="1188" w:type="dxa"/>
            <w:tcBorders>
              <w:top w:val="nil"/>
              <w:left w:val="nil"/>
              <w:bottom w:val="nil"/>
              <w:right w:val="nil"/>
            </w:tcBorders>
            <w:shd w:val="clear" w:color="auto" w:fill="auto"/>
            <w:noWrap/>
            <w:vAlign w:val="center"/>
            <w:hideMark/>
          </w:tcPr>
          <w:p w14:paraId="33E15EE0" w14:textId="77777777" w:rsidR="00FA6648" w:rsidRPr="00C5560D" w:rsidRDefault="00FA6648" w:rsidP="00DE6E66">
            <w:pPr>
              <w:rPr>
                <w:rFonts w:ascii="Times New Roman" w:hAnsi="Times New Roman"/>
                <w:color w:val="000000" w:themeColor="text1"/>
                <w:sz w:val="16"/>
                <w:szCs w:val="16"/>
              </w:rPr>
            </w:pPr>
          </w:p>
        </w:tc>
        <w:tc>
          <w:tcPr>
            <w:tcW w:w="685" w:type="dxa"/>
            <w:tcBorders>
              <w:top w:val="nil"/>
              <w:left w:val="nil"/>
              <w:bottom w:val="single" w:sz="4" w:space="0" w:color="auto"/>
              <w:right w:val="nil"/>
            </w:tcBorders>
            <w:shd w:val="clear" w:color="auto" w:fill="auto"/>
            <w:noWrap/>
            <w:vAlign w:val="bottom"/>
            <w:hideMark/>
          </w:tcPr>
          <w:p w14:paraId="680196C2" w14:textId="77777777" w:rsidR="00FA6648" w:rsidRPr="00C5560D" w:rsidRDefault="00FA6648" w:rsidP="00DE6E66">
            <w:pPr>
              <w:jc w:val="center"/>
              <w:rPr>
                <w:rFonts w:ascii="Times New Roman" w:hAnsi="Times New Roman"/>
                <w:color w:val="000000" w:themeColor="text1"/>
                <w:sz w:val="16"/>
                <w:szCs w:val="16"/>
              </w:rPr>
            </w:pPr>
          </w:p>
        </w:tc>
        <w:tc>
          <w:tcPr>
            <w:tcW w:w="1094" w:type="dxa"/>
            <w:tcBorders>
              <w:top w:val="nil"/>
              <w:left w:val="nil"/>
              <w:bottom w:val="single" w:sz="4" w:space="0" w:color="auto"/>
              <w:right w:val="nil"/>
            </w:tcBorders>
            <w:shd w:val="clear" w:color="auto" w:fill="auto"/>
            <w:noWrap/>
            <w:vAlign w:val="bottom"/>
            <w:hideMark/>
          </w:tcPr>
          <w:p w14:paraId="20017316" w14:textId="77777777" w:rsidR="00FA6648" w:rsidRPr="00C5560D" w:rsidRDefault="00FA6648" w:rsidP="00DE6E66">
            <w:pPr>
              <w:rPr>
                <w:rFonts w:ascii="Times New Roman" w:hAnsi="Times New Roman"/>
                <w:color w:val="000000" w:themeColor="text1"/>
                <w:sz w:val="16"/>
                <w:szCs w:val="16"/>
              </w:rPr>
            </w:pPr>
          </w:p>
        </w:tc>
      </w:tr>
      <w:tr w:rsidR="00FA6648" w:rsidRPr="00C5560D" w14:paraId="43556F93" w14:textId="77777777" w:rsidTr="005D582C">
        <w:trPr>
          <w:trHeight w:val="116"/>
        </w:trPr>
        <w:tc>
          <w:tcPr>
            <w:tcW w:w="4860" w:type="dxa"/>
            <w:tcBorders>
              <w:top w:val="single" w:sz="4" w:space="0" w:color="auto"/>
              <w:left w:val="nil"/>
              <w:bottom w:val="nil"/>
              <w:right w:val="nil"/>
            </w:tcBorders>
            <w:shd w:val="clear" w:color="auto" w:fill="auto"/>
            <w:noWrap/>
            <w:vAlign w:val="center"/>
            <w:hideMark/>
          </w:tcPr>
          <w:p w14:paraId="500C38AE"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 </w:t>
            </w:r>
          </w:p>
        </w:tc>
        <w:tc>
          <w:tcPr>
            <w:tcW w:w="981" w:type="dxa"/>
            <w:tcBorders>
              <w:top w:val="single" w:sz="4" w:space="0" w:color="auto"/>
              <w:left w:val="nil"/>
              <w:bottom w:val="nil"/>
              <w:right w:val="nil"/>
            </w:tcBorders>
            <w:shd w:val="clear" w:color="auto" w:fill="auto"/>
            <w:noWrap/>
            <w:vAlign w:val="center"/>
            <w:hideMark/>
          </w:tcPr>
          <w:p w14:paraId="7FE73F0D" w14:textId="553AB3B0" w:rsidR="00FA6648" w:rsidRPr="00C5560D" w:rsidRDefault="00FA6648" w:rsidP="00DE6E66">
            <w:pPr>
              <w:jc w:val="center"/>
              <w:rPr>
                <w:rFonts w:ascii="Arial" w:hAnsi="Arial" w:cs="Arial"/>
                <w:b/>
                <w:bCs/>
                <w:color w:val="000000" w:themeColor="text1"/>
                <w:sz w:val="16"/>
                <w:szCs w:val="16"/>
              </w:rPr>
            </w:pPr>
            <w:r>
              <w:rPr>
                <w:rFonts w:ascii="Arial" w:hAnsi="Arial" w:cs="Arial"/>
                <w:b/>
                <w:bCs/>
                <w:color w:val="000000" w:themeColor="text1"/>
                <w:sz w:val="16"/>
                <w:szCs w:val="16"/>
              </w:rPr>
              <w:t xml:space="preserve">Estimated </w:t>
            </w:r>
            <w:r w:rsidRPr="00C5560D">
              <w:rPr>
                <w:rFonts w:ascii="Arial" w:hAnsi="Arial" w:cs="Arial"/>
                <w:b/>
                <w:bCs/>
                <w:color w:val="000000" w:themeColor="text1"/>
                <w:sz w:val="16"/>
                <w:szCs w:val="16"/>
              </w:rPr>
              <w:t>Time</w:t>
            </w:r>
          </w:p>
        </w:tc>
        <w:tc>
          <w:tcPr>
            <w:tcW w:w="1188" w:type="dxa"/>
            <w:tcBorders>
              <w:top w:val="single" w:sz="4" w:space="0" w:color="auto"/>
              <w:left w:val="nil"/>
              <w:bottom w:val="nil"/>
              <w:right w:val="nil"/>
            </w:tcBorders>
            <w:shd w:val="clear" w:color="auto" w:fill="auto"/>
            <w:noWrap/>
            <w:vAlign w:val="center"/>
            <w:hideMark/>
          </w:tcPr>
          <w:p w14:paraId="501645FA"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 </w:t>
            </w:r>
          </w:p>
        </w:tc>
        <w:tc>
          <w:tcPr>
            <w:tcW w:w="1779" w:type="dxa"/>
            <w:gridSpan w:val="2"/>
            <w:tcBorders>
              <w:top w:val="single" w:sz="4" w:space="0" w:color="auto"/>
              <w:left w:val="single" w:sz="4" w:space="0" w:color="auto"/>
              <w:bottom w:val="nil"/>
              <w:right w:val="single" w:sz="4" w:space="0" w:color="auto"/>
            </w:tcBorders>
            <w:shd w:val="clear" w:color="auto" w:fill="auto"/>
            <w:noWrap/>
            <w:vAlign w:val="bottom"/>
            <w:hideMark/>
          </w:tcPr>
          <w:p w14:paraId="01876C61"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SDC Portion</w:t>
            </w:r>
          </w:p>
        </w:tc>
      </w:tr>
      <w:tr w:rsidR="00FA6648" w:rsidRPr="00C5560D" w14:paraId="46E5F56A" w14:textId="77777777" w:rsidTr="005D582C">
        <w:trPr>
          <w:trHeight w:val="84"/>
        </w:trPr>
        <w:tc>
          <w:tcPr>
            <w:tcW w:w="4860" w:type="dxa"/>
            <w:tcBorders>
              <w:top w:val="nil"/>
              <w:left w:val="nil"/>
              <w:bottom w:val="single" w:sz="8" w:space="0" w:color="auto"/>
              <w:right w:val="nil"/>
            </w:tcBorders>
            <w:shd w:val="clear" w:color="auto" w:fill="auto"/>
            <w:noWrap/>
            <w:vAlign w:val="center"/>
            <w:hideMark/>
          </w:tcPr>
          <w:p w14:paraId="3FA625EE"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PROJECT</w:t>
            </w:r>
          </w:p>
        </w:tc>
        <w:tc>
          <w:tcPr>
            <w:tcW w:w="981" w:type="dxa"/>
            <w:tcBorders>
              <w:top w:val="nil"/>
              <w:left w:val="nil"/>
              <w:bottom w:val="single" w:sz="8" w:space="0" w:color="auto"/>
              <w:right w:val="nil"/>
            </w:tcBorders>
            <w:shd w:val="clear" w:color="auto" w:fill="auto"/>
            <w:noWrap/>
            <w:vAlign w:val="center"/>
            <w:hideMark/>
          </w:tcPr>
          <w:p w14:paraId="640A045C"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Period</w:t>
            </w:r>
          </w:p>
        </w:tc>
        <w:tc>
          <w:tcPr>
            <w:tcW w:w="1188" w:type="dxa"/>
            <w:tcBorders>
              <w:top w:val="nil"/>
              <w:left w:val="nil"/>
              <w:bottom w:val="single" w:sz="8" w:space="0" w:color="auto"/>
              <w:right w:val="nil"/>
            </w:tcBorders>
            <w:shd w:val="clear" w:color="auto" w:fill="auto"/>
            <w:noWrap/>
            <w:vAlign w:val="center"/>
            <w:hideMark/>
          </w:tcPr>
          <w:p w14:paraId="567C235A"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Cost</w:t>
            </w:r>
          </w:p>
        </w:tc>
        <w:tc>
          <w:tcPr>
            <w:tcW w:w="685" w:type="dxa"/>
            <w:tcBorders>
              <w:top w:val="nil"/>
              <w:left w:val="single" w:sz="4" w:space="0" w:color="auto"/>
              <w:bottom w:val="single" w:sz="8" w:space="0" w:color="auto"/>
              <w:right w:val="nil"/>
            </w:tcBorders>
            <w:shd w:val="clear" w:color="auto" w:fill="auto"/>
            <w:noWrap/>
            <w:vAlign w:val="bottom"/>
            <w:hideMark/>
          </w:tcPr>
          <w:p w14:paraId="73652702"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w:t>
            </w:r>
          </w:p>
        </w:tc>
        <w:tc>
          <w:tcPr>
            <w:tcW w:w="1094" w:type="dxa"/>
            <w:tcBorders>
              <w:top w:val="nil"/>
              <w:left w:val="nil"/>
              <w:bottom w:val="single" w:sz="8" w:space="0" w:color="auto"/>
              <w:right w:val="single" w:sz="4" w:space="0" w:color="auto"/>
            </w:tcBorders>
            <w:shd w:val="clear" w:color="auto" w:fill="auto"/>
            <w:noWrap/>
            <w:vAlign w:val="bottom"/>
            <w:hideMark/>
          </w:tcPr>
          <w:p w14:paraId="0A966679" w14:textId="77777777" w:rsidR="00FA6648" w:rsidRPr="00C5560D" w:rsidRDefault="00FA6648" w:rsidP="00DE6E66">
            <w:pPr>
              <w:jc w:val="center"/>
              <w:rPr>
                <w:rFonts w:ascii="Arial" w:hAnsi="Arial" w:cs="Arial"/>
                <w:b/>
                <w:bCs/>
                <w:color w:val="000000" w:themeColor="text1"/>
                <w:sz w:val="16"/>
                <w:szCs w:val="16"/>
              </w:rPr>
            </w:pPr>
            <w:r w:rsidRPr="00C5560D">
              <w:rPr>
                <w:rFonts w:ascii="Arial" w:hAnsi="Arial" w:cs="Arial"/>
                <w:b/>
                <w:bCs/>
                <w:color w:val="000000" w:themeColor="text1"/>
                <w:sz w:val="16"/>
                <w:szCs w:val="16"/>
              </w:rPr>
              <w:t>$</w:t>
            </w:r>
          </w:p>
        </w:tc>
      </w:tr>
      <w:tr w:rsidR="00FA6648" w:rsidRPr="00C5560D" w14:paraId="031A5BA2" w14:textId="77777777" w:rsidTr="005D582C">
        <w:trPr>
          <w:trHeight w:val="267"/>
        </w:trPr>
        <w:tc>
          <w:tcPr>
            <w:tcW w:w="4860" w:type="dxa"/>
            <w:tcBorders>
              <w:top w:val="single" w:sz="8" w:space="0" w:color="auto"/>
              <w:left w:val="nil"/>
              <w:bottom w:val="nil"/>
              <w:right w:val="nil"/>
            </w:tcBorders>
            <w:shd w:val="clear" w:color="auto" w:fill="auto"/>
            <w:vAlign w:val="center"/>
            <w:hideMark/>
          </w:tcPr>
          <w:p w14:paraId="7F04CBF4" w14:textId="77777777" w:rsidR="00FA6648" w:rsidRPr="00C5560D" w:rsidRDefault="00FA6648" w:rsidP="00DE6E66">
            <w:pPr>
              <w:rPr>
                <w:rFonts w:ascii="Arial" w:hAnsi="Arial" w:cs="Arial"/>
                <w:b/>
                <w:bCs/>
                <w:color w:val="000000" w:themeColor="text1"/>
                <w:sz w:val="16"/>
                <w:szCs w:val="16"/>
              </w:rPr>
            </w:pPr>
            <w:r w:rsidRPr="00C5560D">
              <w:rPr>
                <w:rFonts w:ascii="Arial" w:hAnsi="Arial" w:cs="Arial"/>
                <w:b/>
                <w:bCs/>
                <w:color w:val="000000" w:themeColor="text1"/>
                <w:sz w:val="16"/>
                <w:szCs w:val="16"/>
              </w:rPr>
              <w:t>Collection System Improvement Costs</w:t>
            </w:r>
          </w:p>
        </w:tc>
        <w:tc>
          <w:tcPr>
            <w:tcW w:w="981" w:type="dxa"/>
            <w:tcBorders>
              <w:top w:val="nil"/>
              <w:left w:val="nil"/>
              <w:bottom w:val="nil"/>
              <w:right w:val="nil"/>
            </w:tcBorders>
            <w:shd w:val="clear" w:color="auto" w:fill="auto"/>
            <w:noWrap/>
            <w:vAlign w:val="center"/>
            <w:hideMark/>
          </w:tcPr>
          <w:p w14:paraId="761157C8" w14:textId="77777777" w:rsidR="00FA6648" w:rsidRPr="00C5560D" w:rsidRDefault="00FA6648" w:rsidP="00DE6E66">
            <w:pPr>
              <w:rPr>
                <w:rFonts w:ascii="Arial" w:hAnsi="Arial" w:cs="Arial"/>
                <w:b/>
                <w:bCs/>
                <w:color w:val="000000" w:themeColor="text1"/>
                <w:sz w:val="16"/>
                <w:szCs w:val="16"/>
              </w:rPr>
            </w:pPr>
          </w:p>
        </w:tc>
        <w:tc>
          <w:tcPr>
            <w:tcW w:w="1188" w:type="dxa"/>
            <w:tcBorders>
              <w:top w:val="nil"/>
              <w:left w:val="nil"/>
              <w:bottom w:val="nil"/>
              <w:right w:val="nil"/>
            </w:tcBorders>
            <w:shd w:val="clear" w:color="auto" w:fill="auto"/>
            <w:noWrap/>
            <w:vAlign w:val="center"/>
            <w:hideMark/>
          </w:tcPr>
          <w:p w14:paraId="44B16DD3" w14:textId="77777777" w:rsidR="00FA6648" w:rsidRPr="00C5560D" w:rsidRDefault="00FA6648" w:rsidP="00DE6E66">
            <w:pPr>
              <w:jc w:val="right"/>
              <w:rPr>
                <w:rFonts w:ascii="Times New Roman" w:hAnsi="Times New Roman"/>
                <w:color w:val="000000" w:themeColor="text1"/>
                <w:sz w:val="16"/>
                <w:szCs w:val="16"/>
              </w:rPr>
            </w:pPr>
          </w:p>
        </w:tc>
        <w:tc>
          <w:tcPr>
            <w:tcW w:w="685" w:type="dxa"/>
            <w:tcBorders>
              <w:top w:val="nil"/>
              <w:left w:val="single" w:sz="4" w:space="0" w:color="auto"/>
              <w:bottom w:val="nil"/>
              <w:right w:val="nil"/>
            </w:tcBorders>
            <w:shd w:val="clear" w:color="auto" w:fill="auto"/>
            <w:noWrap/>
            <w:vAlign w:val="bottom"/>
            <w:hideMark/>
          </w:tcPr>
          <w:p w14:paraId="65CF0A12"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 </w:t>
            </w:r>
          </w:p>
        </w:tc>
        <w:tc>
          <w:tcPr>
            <w:tcW w:w="1094" w:type="dxa"/>
            <w:tcBorders>
              <w:top w:val="nil"/>
              <w:left w:val="nil"/>
              <w:bottom w:val="nil"/>
              <w:right w:val="single" w:sz="4" w:space="0" w:color="auto"/>
            </w:tcBorders>
            <w:shd w:val="clear" w:color="auto" w:fill="auto"/>
            <w:noWrap/>
            <w:vAlign w:val="bottom"/>
            <w:hideMark/>
          </w:tcPr>
          <w:p w14:paraId="52C24D3F"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 </w:t>
            </w:r>
          </w:p>
        </w:tc>
      </w:tr>
      <w:tr w:rsidR="00837E3B" w:rsidRPr="00C5560D" w14:paraId="5868E26A" w14:textId="77777777" w:rsidTr="00837E3B">
        <w:trPr>
          <w:trHeight w:val="267"/>
        </w:trPr>
        <w:tc>
          <w:tcPr>
            <w:tcW w:w="4860" w:type="dxa"/>
            <w:tcBorders>
              <w:top w:val="nil"/>
              <w:left w:val="nil"/>
              <w:bottom w:val="nil"/>
              <w:right w:val="nil"/>
            </w:tcBorders>
            <w:shd w:val="clear" w:color="auto" w:fill="auto"/>
            <w:vAlign w:val="center"/>
            <w:hideMark/>
          </w:tcPr>
          <w:p w14:paraId="2539FEFD"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C1A, 16-inch trunk main</w:t>
            </w:r>
          </w:p>
        </w:tc>
        <w:tc>
          <w:tcPr>
            <w:tcW w:w="981" w:type="dxa"/>
            <w:tcBorders>
              <w:top w:val="nil"/>
              <w:left w:val="nil"/>
              <w:bottom w:val="nil"/>
              <w:right w:val="nil"/>
            </w:tcBorders>
            <w:shd w:val="clear" w:color="auto" w:fill="auto"/>
            <w:noWrap/>
            <w:vAlign w:val="bottom"/>
            <w:hideMark/>
          </w:tcPr>
          <w:p w14:paraId="3CF7FF0A"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2027</w:t>
            </w:r>
          </w:p>
        </w:tc>
        <w:tc>
          <w:tcPr>
            <w:tcW w:w="1188" w:type="dxa"/>
            <w:tcBorders>
              <w:top w:val="nil"/>
              <w:left w:val="nil"/>
              <w:bottom w:val="nil"/>
              <w:right w:val="nil"/>
            </w:tcBorders>
            <w:shd w:val="clear" w:color="auto" w:fill="auto"/>
            <w:noWrap/>
            <w:vAlign w:val="bottom"/>
            <w:hideMark/>
          </w:tcPr>
          <w:p w14:paraId="4424468E"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$710,000</w:t>
            </w:r>
          </w:p>
        </w:tc>
        <w:tc>
          <w:tcPr>
            <w:tcW w:w="685" w:type="dxa"/>
            <w:tcBorders>
              <w:top w:val="nil"/>
              <w:left w:val="single" w:sz="4" w:space="0" w:color="auto"/>
              <w:bottom w:val="nil"/>
              <w:right w:val="nil"/>
            </w:tcBorders>
            <w:shd w:val="clear" w:color="auto" w:fill="auto"/>
            <w:noWrap/>
            <w:vAlign w:val="bottom"/>
            <w:hideMark/>
          </w:tcPr>
          <w:p w14:paraId="3EB39BCA" w14:textId="7E627B30"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0B6C64EF" w14:textId="27ABD0D7" w:rsidR="00837E3B" w:rsidRPr="00837E3B" w:rsidRDefault="00837E3B" w:rsidP="00837E3B">
            <w:pPr>
              <w:jc w:val="right"/>
              <w:rPr>
                <w:rFonts w:ascii="Arial" w:hAnsi="Arial" w:cs="Arial"/>
                <w:sz w:val="16"/>
                <w:szCs w:val="16"/>
              </w:rPr>
            </w:pPr>
            <w:r w:rsidRPr="00837E3B">
              <w:rPr>
                <w:rFonts w:ascii="Arial" w:hAnsi="Arial" w:cs="Arial"/>
                <w:sz w:val="16"/>
                <w:szCs w:val="16"/>
              </w:rPr>
              <w:t>$187,715</w:t>
            </w:r>
          </w:p>
        </w:tc>
      </w:tr>
      <w:tr w:rsidR="00837E3B" w:rsidRPr="00C5560D" w14:paraId="060DDF58" w14:textId="77777777" w:rsidTr="00837E3B">
        <w:trPr>
          <w:trHeight w:val="267"/>
        </w:trPr>
        <w:tc>
          <w:tcPr>
            <w:tcW w:w="4860" w:type="dxa"/>
            <w:tcBorders>
              <w:top w:val="nil"/>
              <w:left w:val="nil"/>
              <w:bottom w:val="nil"/>
              <w:right w:val="nil"/>
            </w:tcBorders>
            <w:shd w:val="clear" w:color="auto" w:fill="auto"/>
            <w:vAlign w:val="center"/>
            <w:hideMark/>
          </w:tcPr>
          <w:p w14:paraId="4AC2E22F"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C1B. 8-inch pipe in Yamhill St and W. Garfield St.</w:t>
            </w:r>
          </w:p>
        </w:tc>
        <w:tc>
          <w:tcPr>
            <w:tcW w:w="981" w:type="dxa"/>
            <w:tcBorders>
              <w:top w:val="nil"/>
              <w:left w:val="nil"/>
              <w:bottom w:val="nil"/>
              <w:right w:val="nil"/>
            </w:tcBorders>
            <w:shd w:val="clear" w:color="auto" w:fill="auto"/>
            <w:noWrap/>
            <w:vAlign w:val="bottom"/>
            <w:hideMark/>
          </w:tcPr>
          <w:p w14:paraId="316C1192"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2030</w:t>
            </w:r>
          </w:p>
        </w:tc>
        <w:tc>
          <w:tcPr>
            <w:tcW w:w="1188" w:type="dxa"/>
            <w:tcBorders>
              <w:top w:val="nil"/>
              <w:left w:val="nil"/>
              <w:bottom w:val="nil"/>
              <w:right w:val="nil"/>
            </w:tcBorders>
            <w:shd w:val="clear" w:color="auto" w:fill="auto"/>
            <w:vAlign w:val="bottom"/>
            <w:hideMark/>
          </w:tcPr>
          <w:p w14:paraId="63E57360"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$270,000 </w:t>
            </w:r>
          </w:p>
        </w:tc>
        <w:tc>
          <w:tcPr>
            <w:tcW w:w="685" w:type="dxa"/>
            <w:tcBorders>
              <w:top w:val="nil"/>
              <w:left w:val="single" w:sz="4" w:space="0" w:color="auto"/>
              <w:bottom w:val="nil"/>
              <w:right w:val="nil"/>
            </w:tcBorders>
            <w:shd w:val="clear" w:color="auto" w:fill="auto"/>
            <w:noWrap/>
            <w:vAlign w:val="bottom"/>
            <w:hideMark/>
          </w:tcPr>
          <w:p w14:paraId="748808A8" w14:textId="555C62D3"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21C10C9E" w14:textId="6C4D99B1" w:rsidR="00837E3B" w:rsidRPr="00837E3B" w:rsidRDefault="00837E3B" w:rsidP="00837E3B">
            <w:pPr>
              <w:jc w:val="right"/>
              <w:rPr>
                <w:rFonts w:ascii="Arial" w:hAnsi="Arial" w:cs="Arial"/>
                <w:sz w:val="16"/>
                <w:szCs w:val="16"/>
              </w:rPr>
            </w:pPr>
            <w:r w:rsidRPr="00837E3B">
              <w:rPr>
                <w:rFonts w:ascii="Arial" w:hAnsi="Arial" w:cs="Arial"/>
                <w:sz w:val="16"/>
                <w:szCs w:val="16"/>
              </w:rPr>
              <w:t>$71,384</w:t>
            </w:r>
          </w:p>
        </w:tc>
      </w:tr>
      <w:tr w:rsidR="00837E3B" w:rsidRPr="00C5560D" w14:paraId="46848469" w14:textId="77777777" w:rsidTr="00837E3B">
        <w:trPr>
          <w:trHeight w:val="267"/>
        </w:trPr>
        <w:tc>
          <w:tcPr>
            <w:tcW w:w="4860" w:type="dxa"/>
            <w:tcBorders>
              <w:top w:val="nil"/>
              <w:left w:val="nil"/>
              <w:bottom w:val="nil"/>
              <w:right w:val="nil"/>
            </w:tcBorders>
            <w:shd w:val="clear" w:color="auto" w:fill="auto"/>
            <w:vAlign w:val="center"/>
            <w:hideMark/>
          </w:tcPr>
          <w:p w14:paraId="5D3DF38E"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C2. 10-inch trunk main in Grant Street</w:t>
            </w:r>
          </w:p>
        </w:tc>
        <w:tc>
          <w:tcPr>
            <w:tcW w:w="981" w:type="dxa"/>
            <w:tcBorders>
              <w:top w:val="nil"/>
              <w:left w:val="nil"/>
              <w:bottom w:val="nil"/>
              <w:right w:val="nil"/>
            </w:tcBorders>
            <w:shd w:val="clear" w:color="auto" w:fill="auto"/>
            <w:noWrap/>
            <w:vAlign w:val="bottom"/>
            <w:hideMark/>
          </w:tcPr>
          <w:p w14:paraId="2CB57E75"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2030</w:t>
            </w:r>
          </w:p>
        </w:tc>
        <w:tc>
          <w:tcPr>
            <w:tcW w:w="1188" w:type="dxa"/>
            <w:tcBorders>
              <w:top w:val="nil"/>
              <w:left w:val="nil"/>
              <w:bottom w:val="nil"/>
              <w:right w:val="nil"/>
            </w:tcBorders>
            <w:shd w:val="clear" w:color="auto" w:fill="auto"/>
            <w:vAlign w:val="bottom"/>
            <w:hideMark/>
          </w:tcPr>
          <w:p w14:paraId="0D8C9F50"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$500,000 </w:t>
            </w:r>
          </w:p>
        </w:tc>
        <w:tc>
          <w:tcPr>
            <w:tcW w:w="685" w:type="dxa"/>
            <w:tcBorders>
              <w:top w:val="nil"/>
              <w:left w:val="single" w:sz="4" w:space="0" w:color="auto"/>
              <w:bottom w:val="nil"/>
              <w:right w:val="nil"/>
            </w:tcBorders>
            <w:shd w:val="clear" w:color="auto" w:fill="auto"/>
            <w:noWrap/>
            <w:vAlign w:val="bottom"/>
            <w:hideMark/>
          </w:tcPr>
          <w:p w14:paraId="66C88957" w14:textId="4F871E17"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3649C12C" w14:textId="7172E397" w:rsidR="00837E3B" w:rsidRPr="00837E3B" w:rsidRDefault="00837E3B" w:rsidP="00837E3B">
            <w:pPr>
              <w:jc w:val="right"/>
              <w:rPr>
                <w:rFonts w:ascii="Arial" w:hAnsi="Arial" w:cs="Arial"/>
                <w:sz w:val="16"/>
                <w:szCs w:val="16"/>
              </w:rPr>
            </w:pPr>
            <w:r w:rsidRPr="00837E3B">
              <w:rPr>
                <w:rFonts w:ascii="Arial" w:hAnsi="Arial" w:cs="Arial"/>
                <w:sz w:val="16"/>
                <w:szCs w:val="16"/>
              </w:rPr>
              <w:t>$132,193</w:t>
            </w:r>
          </w:p>
        </w:tc>
      </w:tr>
      <w:tr w:rsidR="00837E3B" w:rsidRPr="00C5560D" w14:paraId="7DE2FD45" w14:textId="77777777" w:rsidTr="00837E3B">
        <w:trPr>
          <w:trHeight w:val="267"/>
        </w:trPr>
        <w:tc>
          <w:tcPr>
            <w:tcW w:w="4860" w:type="dxa"/>
            <w:tcBorders>
              <w:top w:val="nil"/>
              <w:left w:val="nil"/>
              <w:bottom w:val="nil"/>
              <w:right w:val="nil"/>
            </w:tcBorders>
            <w:shd w:val="clear" w:color="auto" w:fill="auto"/>
            <w:noWrap/>
            <w:vAlign w:val="bottom"/>
            <w:hideMark/>
          </w:tcPr>
          <w:p w14:paraId="64D8784C"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C3. 10-inch and 1,190 feet of 8-inch pipe in East Main St</w:t>
            </w:r>
          </w:p>
        </w:tc>
        <w:tc>
          <w:tcPr>
            <w:tcW w:w="981" w:type="dxa"/>
            <w:tcBorders>
              <w:top w:val="nil"/>
              <w:left w:val="nil"/>
              <w:bottom w:val="nil"/>
              <w:right w:val="nil"/>
            </w:tcBorders>
            <w:shd w:val="clear" w:color="auto" w:fill="auto"/>
            <w:noWrap/>
            <w:vAlign w:val="bottom"/>
            <w:hideMark/>
          </w:tcPr>
          <w:p w14:paraId="5F8BF8BD"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2032</w:t>
            </w:r>
          </w:p>
        </w:tc>
        <w:tc>
          <w:tcPr>
            <w:tcW w:w="1188" w:type="dxa"/>
            <w:tcBorders>
              <w:top w:val="nil"/>
              <w:left w:val="nil"/>
              <w:bottom w:val="nil"/>
              <w:right w:val="nil"/>
            </w:tcBorders>
            <w:shd w:val="clear" w:color="auto" w:fill="auto"/>
            <w:vAlign w:val="bottom"/>
            <w:hideMark/>
          </w:tcPr>
          <w:p w14:paraId="7A8EDDAA"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$680,000 </w:t>
            </w:r>
          </w:p>
        </w:tc>
        <w:tc>
          <w:tcPr>
            <w:tcW w:w="685" w:type="dxa"/>
            <w:tcBorders>
              <w:top w:val="nil"/>
              <w:left w:val="single" w:sz="4" w:space="0" w:color="auto"/>
              <w:bottom w:val="nil"/>
              <w:right w:val="nil"/>
            </w:tcBorders>
            <w:shd w:val="clear" w:color="auto" w:fill="auto"/>
            <w:noWrap/>
            <w:vAlign w:val="bottom"/>
            <w:hideMark/>
          </w:tcPr>
          <w:p w14:paraId="55DACE59" w14:textId="7FE32986"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462B1575" w14:textId="14F08318" w:rsidR="00837E3B" w:rsidRPr="00837E3B" w:rsidRDefault="00837E3B" w:rsidP="00837E3B">
            <w:pPr>
              <w:jc w:val="right"/>
              <w:rPr>
                <w:rFonts w:ascii="Arial" w:hAnsi="Arial" w:cs="Arial"/>
                <w:sz w:val="16"/>
                <w:szCs w:val="16"/>
              </w:rPr>
            </w:pPr>
            <w:r w:rsidRPr="00837E3B">
              <w:rPr>
                <w:rFonts w:ascii="Arial" w:hAnsi="Arial" w:cs="Arial"/>
                <w:sz w:val="16"/>
                <w:szCs w:val="16"/>
              </w:rPr>
              <w:t>$179,783</w:t>
            </w:r>
          </w:p>
        </w:tc>
      </w:tr>
      <w:tr w:rsidR="00837E3B" w:rsidRPr="00C5560D" w14:paraId="764E91A6" w14:textId="77777777" w:rsidTr="00837E3B">
        <w:trPr>
          <w:trHeight w:val="267"/>
        </w:trPr>
        <w:tc>
          <w:tcPr>
            <w:tcW w:w="4860" w:type="dxa"/>
            <w:tcBorders>
              <w:top w:val="nil"/>
              <w:left w:val="nil"/>
              <w:bottom w:val="nil"/>
              <w:right w:val="nil"/>
            </w:tcBorders>
            <w:shd w:val="clear" w:color="auto" w:fill="auto"/>
            <w:noWrap/>
            <w:vAlign w:val="bottom"/>
            <w:hideMark/>
          </w:tcPr>
          <w:p w14:paraId="081B431F"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 xml:space="preserve">C4 Main Street 6-inch, 8-inch, and 10-inch pipe </w:t>
            </w:r>
          </w:p>
        </w:tc>
        <w:tc>
          <w:tcPr>
            <w:tcW w:w="981" w:type="dxa"/>
            <w:tcBorders>
              <w:top w:val="nil"/>
              <w:left w:val="nil"/>
              <w:bottom w:val="nil"/>
              <w:right w:val="nil"/>
            </w:tcBorders>
            <w:shd w:val="clear" w:color="auto" w:fill="auto"/>
            <w:noWrap/>
            <w:vAlign w:val="bottom"/>
            <w:hideMark/>
          </w:tcPr>
          <w:p w14:paraId="18EAA3E7"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2020</w:t>
            </w:r>
          </w:p>
        </w:tc>
        <w:tc>
          <w:tcPr>
            <w:tcW w:w="1188" w:type="dxa"/>
            <w:tcBorders>
              <w:top w:val="nil"/>
              <w:left w:val="nil"/>
              <w:bottom w:val="nil"/>
              <w:right w:val="nil"/>
            </w:tcBorders>
            <w:shd w:val="clear" w:color="auto" w:fill="auto"/>
            <w:vAlign w:val="bottom"/>
            <w:hideMark/>
          </w:tcPr>
          <w:p w14:paraId="6964B68B"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$840,000 </w:t>
            </w:r>
          </w:p>
        </w:tc>
        <w:tc>
          <w:tcPr>
            <w:tcW w:w="685" w:type="dxa"/>
            <w:tcBorders>
              <w:top w:val="nil"/>
              <w:left w:val="single" w:sz="4" w:space="0" w:color="auto"/>
              <w:bottom w:val="nil"/>
              <w:right w:val="nil"/>
            </w:tcBorders>
            <w:shd w:val="clear" w:color="auto" w:fill="auto"/>
            <w:noWrap/>
            <w:vAlign w:val="bottom"/>
            <w:hideMark/>
          </w:tcPr>
          <w:p w14:paraId="57BBD254" w14:textId="1D3CBFA7"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5B80C691" w14:textId="629EA903" w:rsidR="00837E3B" w:rsidRPr="00837E3B" w:rsidRDefault="00837E3B" w:rsidP="00837E3B">
            <w:pPr>
              <w:jc w:val="right"/>
              <w:rPr>
                <w:rFonts w:ascii="Arial" w:hAnsi="Arial" w:cs="Arial"/>
                <w:sz w:val="16"/>
                <w:szCs w:val="16"/>
              </w:rPr>
            </w:pPr>
            <w:r w:rsidRPr="00837E3B">
              <w:rPr>
                <w:rFonts w:ascii="Arial" w:hAnsi="Arial" w:cs="Arial"/>
                <w:sz w:val="16"/>
                <w:szCs w:val="16"/>
              </w:rPr>
              <w:t>$222,085</w:t>
            </w:r>
          </w:p>
        </w:tc>
      </w:tr>
      <w:tr w:rsidR="00837E3B" w:rsidRPr="00C5560D" w14:paraId="690610B3" w14:textId="77777777" w:rsidTr="00837E3B">
        <w:trPr>
          <w:trHeight w:val="267"/>
        </w:trPr>
        <w:tc>
          <w:tcPr>
            <w:tcW w:w="4860" w:type="dxa"/>
            <w:tcBorders>
              <w:top w:val="nil"/>
              <w:left w:val="nil"/>
              <w:bottom w:val="nil"/>
              <w:right w:val="nil"/>
            </w:tcBorders>
            <w:shd w:val="clear" w:color="auto" w:fill="auto"/>
            <w:noWrap/>
            <w:vAlign w:val="bottom"/>
            <w:hideMark/>
          </w:tcPr>
          <w:p w14:paraId="3F367980"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C5. 6-inch and 8-inch pipe in South Pine and South Park St</w:t>
            </w:r>
          </w:p>
        </w:tc>
        <w:tc>
          <w:tcPr>
            <w:tcW w:w="981" w:type="dxa"/>
            <w:tcBorders>
              <w:top w:val="nil"/>
              <w:left w:val="nil"/>
              <w:bottom w:val="nil"/>
              <w:right w:val="nil"/>
            </w:tcBorders>
            <w:shd w:val="clear" w:color="auto" w:fill="auto"/>
            <w:noWrap/>
            <w:vAlign w:val="bottom"/>
            <w:hideMark/>
          </w:tcPr>
          <w:p w14:paraId="27E0086E"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2035</w:t>
            </w:r>
          </w:p>
        </w:tc>
        <w:tc>
          <w:tcPr>
            <w:tcW w:w="1188" w:type="dxa"/>
            <w:tcBorders>
              <w:top w:val="nil"/>
              <w:left w:val="nil"/>
              <w:bottom w:val="nil"/>
              <w:right w:val="nil"/>
            </w:tcBorders>
            <w:shd w:val="clear" w:color="auto" w:fill="auto"/>
            <w:vAlign w:val="bottom"/>
            <w:hideMark/>
          </w:tcPr>
          <w:p w14:paraId="7A59E8FF"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$750,000 </w:t>
            </w:r>
          </w:p>
        </w:tc>
        <w:tc>
          <w:tcPr>
            <w:tcW w:w="685" w:type="dxa"/>
            <w:tcBorders>
              <w:top w:val="nil"/>
              <w:left w:val="single" w:sz="4" w:space="0" w:color="auto"/>
              <w:bottom w:val="nil"/>
              <w:right w:val="nil"/>
            </w:tcBorders>
            <w:shd w:val="clear" w:color="auto" w:fill="auto"/>
            <w:noWrap/>
            <w:vAlign w:val="bottom"/>
            <w:hideMark/>
          </w:tcPr>
          <w:p w14:paraId="664C844F" w14:textId="155932F3"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207CA657" w14:textId="3124CA14" w:rsidR="00837E3B" w:rsidRPr="00837E3B" w:rsidRDefault="00837E3B" w:rsidP="00837E3B">
            <w:pPr>
              <w:jc w:val="right"/>
              <w:rPr>
                <w:rFonts w:ascii="Arial" w:hAnsi="Arial" w:cs="Arial"/>
                <w:sz w:val="16"/>
                <w:szCs w:val="16"/>
              </w:rPr>
            </w:pPr>
            <w:r w:rsidRPr="00837E3B">
              <w:rPr>
                <w:rFonts w:ascii="Arial" w:hAnsi="Arial" w:cs="Arial"/>
                <w:sz w:val="16"/>
                <w:szCs w:val="16"/>
              </w:rPr>
              <w:t>$198,290</w:t>
            </w:r>
          </w:p>
        </w:tc>
      </w:tr>
      <w:tr w:rsidR="00837E3B" w:rsidRPr="00C5560D" w14:paraId="39F23A5D" w14:textId="77777777" w:rsidTr="00837E3B">
        <w:trPr>
          <w:trHeight w:val="267"/>
        </w:trPr>
        <w:tc>
          <w:tcPr>
            <w:tcW w:w="4860" w:type="dxa"/>
            <w:tcBorders>
              <w:top w:val="nil"/>
              <w:left w:val="nil"/>
              <w:bottom w:val="nil"/>
              <w:right w:val="nil"/>
            </w:tcBorders>
            <w:shd w:val="clear" w:color="auto" w:fill="auto"/>
            <w:noWrap/>
            <w:vAlign w:val="bottom"/>
            <w:hideMark/>
          </w:tcPr>
          <w:p w14:paraId="28BB8C9A"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C6. 6–inch and 8-inch pipe in Kutch Street and vicinity</w:t>
            </w:r>
          </w:p>
        </w:tc>
        <w:tc>
          <w:tcPr>
            <w:tcW w:w="981" w:type="dxa"/>
            <w:tcBorders>
              <w:top w:val="nil"/>
              <w:left w:val="nil"/>
              <w:bottom w:val="nil"/>
              <w:right w:val="nil"/>
            </w:tcBorders>
            <w:shd w:val="clear" w:color="auto" w:fill="auto"/>
            <w:noWrap/>
            <w:vAlign w:val="bottom"/>
            <w:hideMark/>
          </w:tcPr>
          <w:p w14:paraId="3E0DC72A"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2036</w:t>
            </w:r>
          </w:p>
        </w:tc>
        <w:tc>
          <w:tcPr>
            <w:tcW w:w="1188" w:type="dxa"/>
            <w:tcBorders>
              <w:top w:val="nil"/>
              <w:left w:val="nil"/>
              <w:bottom w:val="nil"/>
              <w:right w:val="nil"/>
            </w:tcBorders>
            <w:shd w:val="clear" w:color="auto" w:fill="auto"/>
            <w:vAlign w:val="bottom"/>
            <w:hideMark/>
          </w:tcPr>
          <w:p w14:paraId="22F7E685"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$700,000 </w:t>
            </w:r>
          </w:p>
        </w:tc>
        <w:tc>
          <w:tcPr>
            <w:tcW w:w="685" w:type="dxa"/>
            <w:tcBorders>
              <w:top w:val="nil"/>
              <w:left w:val="single" w:sz="4" w:space="0" w:color="auto"/>
              <w:bottom w:val="nil"/>
              <w:right w:val="nil"/>
            </w:tcBorders>
            <w:shd w:val="clear" w:color="auto" w:fill="auto"/>
            <w:noWrap/>
            <w:vAlign w:val="bottom"/>
            <w:hideMark/>
          </w:tcPr>
          <w:p w14:paraId="1B533D6F" w14:textId="3F694858"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636878E1" w14:textId="0A39415C" w:rsidR="00837E3B" w:rsidRPr="00837E3B" w:rsidRDefault="00837E3B" w:rsidP="00837E3B">
            <w:pPr>
              <w:jc w:val="right"/>
              <w:rPr>
                <w:rFonts w:ascii="Arial" w:hAnsi="Arial" w:cs="Arial"/>
                <w:sz w:val="16"/>
                <w:szCs w:val="16"/>
              </w:rPr>
            </w:pPr>
            <w:r w:rsidRPr="00837E3B">
              <w:rPr>
                <w:rFonts w:ascii="Arial" w:hAnsi="Arial" w:cs="Arial"/>
                <w:sz w:val="16"/>
                <w:szCs w:val="16"/>
              </w:rPr>
              <w:t>$185,071</w:t>
            </w:r>
          </w:p>
        </w:tc>
      </w:tr>
      <w:tr w:rsidR="00837E3B" w:rsidRPr="00C5560D" w14:paraId="01599153" w14:textId="77777777" w:rsidTr="00837E3B">
        <w:trPr>
          <w:trHeight w:val="267"/>
        </w:trPr>
        <w:tc>
          <w:tcPr>
            <w:tcW w:w="4860" w:type="dxa"/>
            <w:tcBorders>
              <w:top w:val="nil"/>
              <w:left w:val="nil"/>
              <w:bottom w:val="nil"/>
              <w:right w:val="nil"/>
            </w:tcBorders>
            <w:shd w:val="clear" w:color="auto" w:fill="auto"/>
            <w:noWrap/>
            <w:vAlign w:val="bottom"/>
            <w:hideMark/>
          </w:tcPr>
          <w:p w14:paraId="1CB5C779"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C7. 6-inch pipe in West Jefferson Street, West Johnson Street and vicinity</w:t>
            </w:r>
          </w:p>
        </w:tc>
        <w:tc>
          <w:tcPr>
            <w:tcW w:w="981" w:type="dxa"/>
            <w:tcBorders>
              <w:top w:val="nil"/>
              <w:left w:val="nil"/>
              <w:bottom w:val="nil"/>
              <w:right w:val="nil"/>
            </w:tcBorders>
            <w:shd w:val="clear" w:color="auto" w:fill="auto"/>
            <w:noWrap/>
            <w:vAlign w:val="bottom"/>
            <w:hideMark/>
          </w:tcPr>
          <w:p w14:paraId="04B21D97"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2037</w:t>
            </w:r>
          </w:p>
        </w:tc>
        <w:tc>
          <w:tcPr>
            <w:tcW w:w="1188" w:type="dxa"/>
            <w:tcBorders>
              <w:top w:val="nil"/>
              <w:left w:val="nil"/>
              <w:bottom w:val="nil"/>
              <w:right w:val="nil"/>
            </w:tcBorders>
            <w:shd w:val="clear" w:color="auto" w:fill="auto"/>
            <w:vAlign w:val="bottom"/>
            <w:hideMark/>
          </w:tcPr>
          <w:p w14:paraId="06FF3F2F"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$440,000 </w:t>
            </w:r>
          </w:p>
        </w:tc>
        <w:tc>
          <w:tcPr>
            <w:tcW w:w="685" w:type="dxa"/>
            <w:tcBorders>
              <w:top w:val="nil"/>
              <w:left w:val="single" w:sz="4" w:space="0" w:color="auto"/>
              <w:bottom w:val="nil"/>
              <w:right w:val="nil"/>
            </w:tcBorders>
            <w:shd w:val="clear" w:color="auto" w:fill="auto"/>
            <w:noWrap/>
            <w:vAlign w:val="bottom"/>
            <w:hideMark/>
          </w:tcPr>
          <w:p w14:paraId="0927AE11" w14:textId="2FEA7E6A"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524D7A4C" w14:textId="76117EF8" w:rsidR="00837E3B" w:rsidRPr="00837E3B" w:rsidRDefault="00837E3B" w:rsidP="00837E3B">
            <w:pPr>
              <w:jc w:val="right"/>
              <w:rPr>
                <w:rFonts w:ascii="Arial" w:hAnsi="Arial" w:cs="Arial"/>
                <w:sz w:val="16"/>
                <w:szCs w:val="16"/>
              </w:rPr>
            </w:pPr>
            <w:r w:rsidRPr="00837E3B">
              <w:rPr>
                <w:rFonts w:ascii="Arial" w:hAnsi="Arial" w:cs="Arial"/>
                <w:sz w:val="16"/>
                <w:szCs w:val="16"/>
              </w:rPr>
              <w:t>$116,330</w:t>
            </w:r>
          </w:p>
        </w:tc>
      </w:tr>
      <w:tr w:rsidR="00837E3B" w:rsidRPr="00C5560D" w14:paraId="08B60961" w14:textId="77777777" w:rsidTr="00837E3B">
        <w:trPr>
          <w:trHeight w:val="267"/>
        </w:trPr>
        <w:tc>
          <w:tcPr>
            <w:tcW w:w="4860" w:type="dxa"/>
            <w:tcBorders>
              <w:top w:val="nil"/>
              <w:left w:val="nil"/>
              <w:bottom w:val="nil"/>
              <w:right w:val="nil"/>
            </w:tcBorders>
            <w:shd w:val="clear" w:color="auto" w:fill="auto"/>
            <w:noWrap/>
            <w:vAlign w:val="bottom"/>
            <w:hideMark/>
          </w:tcPr>
          <w:p w14:paraId="6428DD37"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C8. 6-inch and 8-inch pipe in East Monroe Street and vicinity</w:t>
            </w:r>
          </w:p>
        </w:tc>
        <w:tc>
          <w:tcPr>
            <w:tcW w:w="981" w:type="dxa"/>
            <w:tcBorders>
              <w:top w:val="nil"/>
              <w:left w:val="nil"/>
              <w:bottom w:val="nil"/>
              <w:right w:val="nil"/>
            </w:tcBorders>
            <w:shd w:val="clear" w:color="auto" w:fill="auto"/>
            <w:noWrap/>
            <w:vAlign w:val="bottom"/>
            <w:hideMark/>
          </w:tcPr>
          <w:p w14:paraId="0EBB6C70" w14:textId="77777777" w:rsidR="00837E3B" w:rsidRPr="00C5560D" w:rsidRDefault="00837E3B" w:rsidP="00837E3B">
            <w:pPr>
              <w:jc w:val="center"/>
              <w:rPr>
                <w:rFonts w:ascii="Arial" w:hAnsi="Arial" w:cs="Arial"/>
                <w:color w:val="000000" w:themeColor="text1"/>
                <w:sz w:val="16"/>
                <w:szCs w:val="16"/>
              </w:rPr>
            </w:pPr>
            <w:r w:rsidRPr="00C5560D">
              <w:rPr>
                <w:rFonts w:ascii="Arial" w:hAnsi="Arial" w:cs="Arial"/>
                <w:color w:val="000000" w:themeColor="text1"/>
                <w:sz w:val="16"/>
                <w:szCs w:val="16"/>
              </w:rPr>
              <w:t>2038</w:t>
            </w:r>
          </w:p>
        </w:tc>
        <w:tc>
          <w:tcPr>
            <w:tcW w:w="1188" w:type="dxa"/>
            <w:tcBorders>
              <w:top w:val="nil"/>
              <w:left w:val="nil"/>
              <w:bottom w:val="nil"/>
              <w:right w:val="nil"/>
            </w:tcBorders>
            <w:shd w:val="clear" w:color="auto" w:fill="auto"/>
            <w:vAlign w:val="bottom"/>
            <w:hideMark/>
          </w:tcPr>
          <w:p w14:paraId="5A768505" w14:textId="77777777"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$790,000 </w:t>
            </w:r>
          </w:p>
        </w:tc>
        <w:tc>
          <w:tcPr>
            <w:tcW w:w="685" w:type="dxa"/>
            <w:tcBorders>
              <w:top w:val="nil"/>
              <w:left w:val="single" w:sz="4" w:space="0" w:color="auto"/>
              <w:bottom w:val="nil"/>
              <w:right w:val="nil"/>
            </w:tcBorders>
            <w:shd w:val="clear" w:color="auto" w:fill="auto"/>
            <w:noWrap/>
            <w:vAlign w:val="bottom"/>
            <w:hideMark/>
          </w:tcPr>
          <w:p w14:paraId="0FDA0868" w14:textId="0E9A21FF"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hideMark/>
          </w:tcPr>
          <w:p w14:paraId="3A812D5D" w14:textId="6DD7DC3F" w:rsidR="00837E3B" w:rsidRPr="00837E3B" w:rsidRDefault="00837E3B" w:rsidP="00837E3B">
            <w:pPr>
              <w:jc w:val="right"/>
              <w:rPr>
                <w:rFonts w:ascii="Arial" w:hAnsi="Arial" w:cs="Arial"/>
                <w:sz w:val="16"/>
                <w:szCs w:val="16"/>
              </w:rPr>
            </w:pPr>
            <w:r w:rsidRPr="00837E3B">
              <w:rPr>
                <w:rFonts w:ascii="Arial" w:hAnsi="Arial" w:cs="Arial"/>
                <w:sz w:val="16"/>
                <w:szCs w:val="16"/>
              </w:rPr>
              <w:t>$208,866</w:t>
            </w:r>
          </w:p>
        </w:tc>
      </w:tr>
      <w:tr w:rsidR="00837E3B" w:rsidRPr="00C5560D" w14:paraId="04A9BA0C" w14:textId="77777777" w:rsidTr="00C40FD9">
        <w:trPr>
          <w:trHeight w:val="267"/>
        </w:trPr>
        <w:tc>
          <w:tcPr>
            <w:tcW w:w="4860" w:type="dxa"/>
            <w:tcBorders>
              <w:top w:val="nil"/>
              <w:left w:val="nil"/>
              <w:bottom w:val="nil"/>
              <w:right w:val="nil"/>
            </w:tcBorders>
            <w:shd w:val="clear" w:color="auto" w:fill="auto"/>
            <w:noWrap/>
            <w:vAlign w:val="bottom"/>
          </w:tcPr>
          <w:p w14:paraId="0554EEED" w14:textId="1E721E88" w:rsidR="00837E3B" w:rsidRPr="00C5560D" w:rsidRDefault="00C40FD9" w:rsidP="00C40FD9">
            <w:pPr>
              <w:rPr>
                <w:rFonts w:ascii="Arial" w:hAnsi="Arial" w:cs="Arial"/>
                <w:color w:val="000000" w:themeColor="text1"/>
                <w:sz w:val="16"/>
                <w:szCs w:val="16"/>
              </w:rPr>
            </w:pPr>
            <w:r w:rsidRPr="00C40FD9">
              <w:rPr>
                <w:rFonts w:ascii="Arial" w:hAnsi="Arial" w:cs="Arial"/>
                <w:sz w:val="16"/>
                <w:szCs w:val="18"/>
              </w:rPr>
              <w:t>Replace clay pipe between manholes B5</w:t>
            </w:r>
            <w:r>
              <w:rPr>
                <w:rFonts w:ascii="Arial" w:hAnsi="Arial" w:cs="Arial"/>
                <w:sz w:val="16"/>
                <w:szCs w:val="18"/>
              </w:rPr>
              <w:t>,</w:t>
            </w:r>
            <w:r w:rsidRPr="00C40FD9">
              <w:rPr>
                <w:rFonts w:ascii="Arial" w:hAnsi="Arial" w:cs="Arial"/>
                <w:sz w:val="16"/>
                <w:szCs w:val="18"/>
              </w:rPr>
              <w:t xml:space="preserve"> B</w:t>
            </w:r>
            <w:r>
              <w:rPr>
                <w:rFonts w:ascii="Arial" w:hAnsi="Arial" w:cs="Arial"/>
                <w:sz w:val="16"/>
                <w:szCs w:val="18"/>
              </w:rPr>
              <w:t>6</w:t>
            </w:r>
            <w:r w:rsidRPr="00C40FD9">
              <w:rPr>
                <w:rFonts w:ascii="Arial" w:hAnsi="Arial" w:cs="Arial"/>
                <w:sz w:val="16"/>
                <w:szCs w:val="18"/>
              </w:rPr>
              <w:t xml:space="preserve"> </w:t>
            </w:r>
            <w:r>
              <w:rPr>
                <w:rFonts w:ascii="Arial" w:hAnsi="Arial" w:cs="Arial"/>
                <w:sz w:val="16"/>
                <w:szCs w:val="18"/>
              </w:rPr>
              <w:t>&amp;</w:t>
            </w:r>
            <w:r w:rsidRPr="00C40FD9">
              <w:rPr>
                <w:rFonts w:ascii="Arial" w:hAnsi="Arial" w:cs="Arial"/>
                <w:sz w:val="16"/>
                <w:szCs w:val="18"/>
              </w:rPr>
              <w:t xml:space="preserve"> A1</w:t>
            </w:r>
            <w:r>
              <w:rPr>
                <w:rFonts w:ascii="Arial" w:hAnsi="Arial" w:cs="Arial"/>
                <w:sz w:val="16"/>
                <w:szCs w:val="18"/>
              </w:rPr>
              <w:t>,</w:t>
            </w:r>
            <w:r w:rsidRPr="00C40FD9">
              <w:rPr>
                <w:rFonts w:ascii="Arial" w:hAnsi="Arial" w:cs="Arial"/>
                <w:sz w:val="16"/>
                <w:szCs w:val="18"/>
              </w:rPr>
              <w:t xml:space="preserve"> WWTP</w:t>
            </w:r>
          </w:p>
        </w:tc>
        <w:tc>
          <w:tcPr>
            <w:tcW w:w="981" w:type="dxa"/>
            <w:tcBorders>
              <w:top w:val="nil"/>
              <w:left w:val="nil"/>
              <w:bottom w:val="nil"/>
              <w:right w:val="nil"/>
            </w:tcBorders>
            <w:shd w:val="clear" w:color="auto" w:fill="auto"/>
            <w:noWrap/>
            <w:vAlign w:val="bottom"/>
          </w:tcPr>
          <w:p w14:paraId="265E9B5E" w14:textId="1B0A0CCB" w:rsidR="00837E3B" w:rsidRPr="00C5560D" w:rsidRDefault="00C40FD9" w:rsidP="00837E3B">
            <w:pPr>
              <w:jc w:val="center"/>
              <w:rPr>
                <w:rFonts w:ascii="Arial" w:hAnsi="Arial" w:cs="Arial"/>
                <w:color w:val="000000" w:themeColor="text1"/>
                <w:sz w:val="16"/>
                <w:szCs w:val="16"/>
              </w:rPr>
            </w:pPr>
            <w:r>
              <w:rPr>
                <w:rFonts w:ascii="Arial" w:hAnsi="Arial" w:cs="Arial"/>
                <w:color w:val="000000" w:themeColor="text1"/>
                <w:sz w:val="16"/>
                <w:szCs w:val="16"/>
              </w:rPr>
              <w:t>2024</w:t>
            </w:r>
          </w:p>
        </w:tc>
        <w:tc>
          <w:tcPr>
            <w:tcW w:w="1188" w:type="dxa"/>
            <w:tcBorders>
              <w:top w:val="nil"/>
              <w:left w:val="nil"/>
              <w:bottom w:val="nil"/>
              <w:right w:val="nil"/>
            </w:tcBorders>
            <w:shd w:val="clear" w:color="auto" w:fill="auto"/>
            <w:vAlign w:val="bottom"/>
          </w:tcPr>
          <w:p w14:paraId="167B3181" w14:textId="5ED08EF0"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$50,000 </w:t>
            </w:r>
          </w:p>
        </w:tc>
        <w:tc>
          <w:tcPr>
            <w:tcW w:w="685" w:type="dxa"/>
            <w:tcBorders>
              <w:top w:val="nil"/>
              <w:left w:val="single" w:sz="4" w:space="0" w:color="auto"/>
              <w:bottom w:val="nil"/>
              <w:right w:val="nil"/>
            </w:tcBorders>
            <w:shd w:val="clear" w:color="auto" w:fill="auto"/>
            <w:noWrap/>
            <w:vAlign w:val="bottom"/>
          </w:tcPr>
          <w:p w14:paraId="0F26D8DD" w14:textId="0D29408B" w:rsidR="00837E3B" w:rsidRPr="00837E3B" w:rsidRDefault="00837E3B" w:rsidP="00837E3B">
            <w:pPr>
              <w:jc w:val="right"/>
              <w:rPr>
                <w:rFonts w:ascii="Arial" w:hAnsi="Arial" w:cs="Arial"/>
                <w:sz w:val="16"/>
                <w:szCs w:val="16"/>
              </w:rPr>
            </w:pPr>
            <w:r w:rsidRPr="00837E3B">
              <w:rPr>
                <w:rFonts w:ascii="Arial" w:hAnsi="Arial" w:cs="Arial"/>
                <w:sz w:val="16"/>
                <w:szCs w:val="16"/>
              </w:rPr>
              <w:t>26%</w:t>
            </w:r>
          </w:p>
        </w:tc>
        <w:tc>
          <w:tcPr>
            <w:tcW w:w="1094" w:type="dxa"/>
            <w:tcBorders>
              <w:top w:val="nil"/>
              <w:left w:val="nil"/>
              <w:bottom w:val="nil"/>
              <w:right w:val="single" w:sz="4" w:space="0" w:color="auto"/>
            </w:tcBorders>
            <w:shd w:val="clear" w:color="auto" w:fill="auto"/>
            <w:noWrap/>
            <w:vAlign w:val="bottom"/>
          </w:tcPr>
          <w:p w14:paraId="605A5633" w14:textId="029DDE74" w:rsidR="00837E3B" w:rsidRPr="00837E3B" w:rsidRDefault="00837E3B" w:rsidP="00837E3B">
            <w:pPr>
              <w:jc w:val="right"/>
              <w:rPr>
                <w:rFonts w:ascii="Arial" w:hAnsi="Arial" w:cs="Arial"/>
                <w:sz w:val="16"/>
                <w:szCs w:val="16"/>
              </w:rPr>
            </w:pPr>
            <w:r w:rsidRPr="00837E3B">
              <w:rPr>
                <w:rFonts w:ascii="Arial" w:hAnsi="Arial" w:cs="Arial"/>
                <w:sz w:val="16"/>
                <w:szCs w:val="16"/>
              </w:rPr>
              <w:t>$13,219</w:t>
            </w:r>
          </w:p>
        </w:tc>
      </w:tr>
      <w:tr w:rsidR="00837E3B" w:rsidRPr="00C5560D" w14:paraId="57835B68" w14:textId="77777777" w:rsidTr="00837E3B">
        <w:trPr>
          <w:trHeight w:val="267"/>
        </w:trPr>
        <w:tc>
          <w:tcPr>
            <w:tcW w:w="4860" w:type="dxa"/>
            <w:tcBorders>
              <w:top w:val="nil"/>
              <w:left w:val="nil"/>
              <w:bottom w:val="nil"/>
              <w:right w:val="nil"/>
            </w:tcBorders>
            <w:shd w:val="clear" w:color="auto" w:fill="auto"/>
            <w:noWrap/>
            <w:vAlign w:val="bottom"/>
            <w:hideMark/>
          </w:tcPr>
          <w:p w14:paraId="4A927161" w14:textId="77777777" w:rsidR="00837E3B" w:rsidRPr="00C5560D" w:rsidRDefault="00837E3B" w:rsidP="00837E3B">
            <w:pPr>
              <w:rPr>
                <w:rFonts w:ascii="Arial" w:hAnsi="Arial" w:cs="Arial"/>
                <w:color w:val="000000" w:themeColor="text1"/>
                <w:sz w:val="16"/>
                <w:szCs w:val="16"/>
              </w:rPr>
            </w:pPr>
            <w:r w:rsidRPr="00C5560D">
              <w:rPr>
                <w:rFonts w:ascii="Arial" w:hAnsi="Arial" w:cs="Arial"/>
                <w:color w:val="000000" w:themeColor="text1"/>
                <w:sz w:val="16"/>
                <w:szCs w:val="16"/>
              </w:rPr>
              <w:t>P1. Hawn Creek Pump Station Upgrade</w:t>
            </w:r>
          </w:p>
        </w:tc>
        <w:tc>
          <w:tcPr>
            <w:tcW w:w="981" w:type="dxa"/>
            <w:tcBorders>
              <w:top w:val="nil"/>
              <w:left w:val="nil"/>
              <w:bottom w:val="nil"/>
              <w:right w:val="nil"/>
            </w:tcBorders>
            <w:shd w:val="clear" w:color="auto" w:fill="auto"/>
            <w:noWrap/>
            <w:vAlign w:val="bottom"/>
            <w:hideMark/>
          </w:tcPr>
          <w:p w14:paraId="6F147758" w14:textId="66513246" w:rsidR="00837E3B" w:rsidRPr="00C5560D" w:rsidRDefault="00837E3B" w:rsidP="00837E3B">
            <w:pPr>
              <w:jc w:val="center"/>
              <w:rPr>
                <w:rFonts w:ascii="Arial" w:hAnsi="Arial" w:cs="Arial"/>
                <w:color w:val="000000" w:themeColor="text1"/>
                <w:sz w:val="16"/>
                <w:szCs w:val="16"/>
              </w:rPr>
            </w:pPr>
            <w:r>
              <w:rPr>
                <w:rFonts w:ascii="Arial" w:hAnsi="Arial" w:cs="Arial"/>
                <w:color w:val="000000" w:themeColor="text1"/>
                <w:sz w:val="16"/>
                <w:szCs w:val="16"/>
              </w:rPr>
              <w:t>2024</w:t>
            </w:r>
          </w:p>
        </w:tc>
        <w:tc>
          <w:tcPr>
            <w:tcW w:w="1188" w:type="dxa"/>
            <w:tcBorders>
              <w:top w:val="nil"/>
              <w:left w:val="nil"/>
              <w:bottom w:val="nil"/>
              <w:right w:val="nil"/>
            </w:tcBorders>
            <w:shd w:val="clear" w:color="auto" w:fill="auto"/>
            <w:vAlign w:val="bottom"/>
            <w:hideMark/>
          </w:tcPr>
          <w:p w14:paraId="6F39700B" w14:textId="19BB2E51" w:rsidR="00837E3B" w:rsidRPr="00837E3B" w:rsidRDefault="00837E3B" w:rsidP="00837E3B">
            <w:pPr>
              <w:jc w:val="right"/>
              <w:rPr>
                <w:rFonts w:ascii="Arial" w:hAnsi="Arial" w:cs="Arial"/>
                <w:sz w:val="16"/>
                <w:szCs w:val="16"/>
              </w:rPr>
            </w:pPr>
            <w:r w:rsidRPr="00837E3B">
              <w:rPr>
                <w:rFonts w:ascii="Arial" w:hAnsi="Arial" w:cs="Arial"/>
                <w:sz w:val="16"/>
                <w:szCs w:val="16"/>
              </w:rPr>
              <w:t xml:space="preserve">$685,433 </w:t>
            </w:r>
          </w:p>
        </w:tc>
        <w:tc>
          <w:tcPr>
            <w:tcW w:w="685" w:type="dxa"/>
            <w:tcBorders>
              <w:top w:val="nil"/>
              <w:left w:val="single" w:sz="4" w:space="0" w:color="auto"/>
              <w:bottom w:val="nil"/>
              <w:right w:val="nil"/>
            </w:tcBorders>
            <w:shd w:val="clear" w:color="auto" w:fill="auto"/>
            <w:noWrap/>
            <w:vAlign w:val="bottom"/>
            <w:hideMark/>
          </w:tcPr>
          <w:p w14:paraId="098C4F9C" w14:textId="2AA47B95" w:rsidR="00837E3B" w:rsidRPr="00837E3B" w:rsidRDefault="00837E3B" w:rsidP="00837E3B">
            <w:pPr>
              <w:jc w:val="right"/>
              <w:rPr>
                <w:rFonts w:ascii="Arial" w:hAnsi="Arial" w:cs="Arial"/>
                <w:sz w:val="16"/>
                <w:szCs w:val="16"/>
              </w:rPr>
            </w:pPr>
            <w:r w:rsidRPr="00837E3B">
              <w:rPr>
                <w:rFonts w:ascii="Arial" w:hAnsi="Arial" w:cs="Arial"/>
                <w:sz w:val="16"/>
                <w:szCs w:val="16"/>
              </w:rPr>
              <w:t>76%</w:t>
            </w:r>
          </w:p>
        </w:tc>
        <w:tc>
          <w:tcPr>
            <w:tcW w:w="1094" w:type="dxa"/>
            <w:tcBorders>
              <w:top w:val="nil"/>
              <w:left w:val="nil"/>
              <w:bottom w:val="nil"/>
              <w:right w:val="single" w:sz="4" w:space="0" w:color="auto"/>
            </w:tcBorders>
            <w:shd w:val="clear" w:color="auto" w:fill="auto"/>
            <w:noWrap/>
            <w:vAlign w:val="bottom"/>
            <w:hideMark/>
          </w:tcPr>
          <w:p w14:paraId="66D6BFA7" w14:textId="5A289AFA" w:rsidR="00837E3B" w:rsidRPr="00837E3B" w:rsidRDefault="00837E3B" w:rsidP="00837E3B">
            <w:pPr>
              <w:jc w:val="right"/>
              <w:rPr>
                <w:rFonts w:ascii="Arial" w:hAnsi="Arial" w:cs="Arial"/>
                <w:sz w:val="16"/>
                <w:szCs w:val="16"/>
              </w:rPr>
            </w:pPr>
            <w:r w:rsidRPr="00837E3B">
              <w:rPr>
                <w:rFonts w:ascii="Arial" w:hAnsi="Arial" w:cs="Arial"/>
                <w:sz w:val="16"/>
                <w:szCs w:val="16"/>
              </w:rPr>
              <w:t>$522,766</w:t>
            </w:r>
          </w:p>
        </w:tc>
      </w:tr>
      <w:tr w:rsidR="00FA6648" w:rsidRPr="00C5560D" w14:paraId="019F2353" w14:textId="77777777" w:rsidTr="00D85985">
        <w:trPr>
          <w:trHeight w:val="315"/>
        </w:trPr>
        <w:tc>
          <w:tcPr>
            <w:tcW w:w="4860" w:type="dxa"/>
            <w:tcBorders>
              <w:top w:val="nil"/>
              <w:left w:val="nil"/>
              <w:bottom w:val="nil"/>
              <w:right w:val="nil"/>
            </w:tcBorders>
            <w:shd w:val="clear" w:color="auto" w:fill="auto"/>
            <w:noWrap/>
            <w:vAlign w:val="bottom"/>
            <w:hideMark/>
          </w:tcPr>
          <w:p w14:paraId="65569AA4" w14:textId="77777777" w:rsidR="00FA6648" w:rsidRPr="00C5560D" w:rsidRDefault="00FA6648" w:rsidP="00DE6E66">
            <w:pPr>
              <w:rPr>
                <w:rFonts w:ascii="Arial" w:hAnsi="Arial" w:cs="Arial"/>
                <w:b/>
                <w:bCs/>
                <w:color w:val="000000" w:themeColor="text1"/>
                <w:sz w:val="16"/>
                <w:szCs w:val="16"/>
              </w:rPr>
            </w:pPr>
            <w:r w:rsidRPr="00C5560D">
              <w:rPr>
                <w:rFonts w:ascii="Arial" w:hAnsi="Arial" w:cs="Arial"/>
                <w:b/>
                <w:bCs/>
                <w:color w:val="000000" w:themeColor="text1"/>
                <w:sz w:val="16"/>
                <w:szCs w:val="16"/>
              </w:rPr>
              <w:t>Treatment Facility Costs</w:t>
            </w:r>
          </w:p>
        </w:tc>
        <w:tc>
          <w:tcPr>
            <w:tcW w:w="981" w:type="dxa"/>
            <w:tcBorders>
              <w:top w:val="nil"/>
              <w:left w:val="nil"/>
              <w:bottom w:val="nil"/>
              <w:right w:val="nil"/>
            </w:tcBorders>
            <w:shd w:val="clear" w:color="auto" w:fill="auto"/>
            <w:noWrap/>
            <w:vAlign w:val="bottom"/>
            <w:hideMark/>
          </w:tcPr>
          <w:p w14:paraId="46777B11" w14:textId="77777777" w:rsidR="00FA6648" w:rsidRPr="00C5560D" w:rsidRDefault="00FA6648" w:rsidP="00DE6E66">
            <w:pPr>
              <w:rPr>
                <w:rFonts w:ascii="Arial" w:hAnsi="Arial" w:cs="Arial"/>
                <w:b/>
                <w:bCs/>
                <w:color w:val="000000" w:themeColor="text1"/>
                <w:sz w:val="16"/>
                <w:szCs w:val="16"/>
              </w:rPr>
            </w:pPr>
          </w:p>
        </w:tc>
        <w:tc>
          <w:tcPr>
            <w:tcW w:w="1188" w:type="dxa"/>
            <w:tcBorders>
              <w:top w:val="nil"/>
              <w:left w:val="nil"/>
              <w:bottom w:val="nil"/>
              <w:right w:val="nil"/>
            </w:tcBorders>
            <w:shd w:val="clear" w:color="auto" w:fill="auto"/>
            <w:noWrap/>
            <w:vAlign w:val="bottom"/>
            <w:hideMark/>
          </w:tcPr>
          <w:p w14:paraId="0654188B" w14:textId="77777777" w:rsidR="00FA6648" w:rsidRPr="00C5560D" w:rsidRDefault="00FA6648" w:rsidP="00D85985">
            <w:pPr>
              <w:jc w:val="right"/>
              <w:rPr>
                <w:rFonts w:ascii="Times New Roman" w:hAnsi="Times New Roman"/>
                <w:color w:val="000000" w:themeColor="text1"/>
                <w:sz w:val="16"/>
                <w:szCs w:val="16"/>
              </w:rPr>
            </w:pPr>
          </w:p>
        </w:tc>
        <w:tc>
          <w:tcPr>
            <w:tcW w:w="685" w:type="dxa"/>
            <w:tcBorders>
              <w:top w:val="nil"/>
              <w:left w:val="single" w:sz="4" w:space="0" w:color="auto"/>
              <w:bottom w:val="nil"/>
              <w:right w:val="nil"/>
            </w:tcBorders>
            <w:shd w:val="clear" w:color="auto" w:fill="auto"/>
            <w:noWrap/>
            <w:vAlign w:val="bottom"/>
            <w:hideMark/>
          </w:tcPr>
          <w:p w14:paraId="633E4BA9"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 </w:t>
            </w:r>
          </w:p>
        </w:tc>
        <w:tc>
          <w:tcPr>
            <w:tcW w:w="1094" w:type="dxa"/>
            <w:tcBorders>
              <w:top w:val="nil"/>
              <w:left w:val="nil"/>
              <w:bottom w:val="nil"/>
              <w:right w:val="single" w:sz="4" w:space="0" w:color="auto"/>
            </w:tcBorders>
            <w:shd w:val="clear" w:color="auto" w:fill="auto"/>
            <w:noWrap/>
            <w:vAlign w:val="bottom"/>
            <w:hideMark/>
          </w:tcPr>
          <w:p w14:paraId="67E970F4"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 </w:t>
            </w:r>
          </w:p>
        </w:tc>
      </w:tr>
      <w:tr w:rsidR="00FA6648" w:rsidRPr="00C5560D" w14:paraId="1503BAE2" w14:textId="77777777" w:rsidTr="00D85985">
        <w:trPr>
          <w:trHeight w:val="225"/>
        </w:trPr>
        <w:tc>
          <w:tcPr>
            <w:tcW w:w="4860" w:type="dxa"/>
            <w:tcBorders>
              <w:top w:val="nil"/>
              <w:left w:val="nil"/>
              <w:bottom w:val="nil"/>
              <w:right w:val="nil"/>
            </w:tcBorders>
            <w:shd w:val="clear" w:color="auto" w:fill="auto"/>
            <w:noWrap/>
            <w:vAlign w:val="bottom"/>
            <w:hideMark/>
          </w:tcPr>
          <w:p w14:paraId="511AE318"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T1. Headworks Upgrade</w:t>
            </w:r>
          </w:p>
        </w:tc>
        <w:tc>
          <w:tcPr>
            <w:tcW w:w="981" w:type="dxa"/>
            <w:tcBorders>
              <w:top w:val="nil"/>
              <w:left w:val="nil"/>
              <w:bottom w:val="nil"/>
              <w:right w:val="nil"/>
            </w:tcBorders>
            <w:shd w:val="clear" w:color="auto" w:fill="auto"/>
            <w:noWrap/>
            <w:vAlign w:val="bottom"/>
            <w:hideMark/>
          </w:tcPr>
          <w:p w14:paraId="0F86F58D"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2027</w:t>
            </w:r>
          </w:p>
        </w:tc>
        <w:tc>
          <w:tcPr>
            <w:tcW w:w="1188" w:type="dxa"/>
            <w:tcBorders>
              <w:top w:val="nil"/>
              <w:left w:val="nil"/>
              <w:bottom w:val="nil"/>
              <w:right w:val="nil"/>
            </w:tcBorders>
            <w:shd w:val="clear" w:color="auto" w:fill="auto"/>
            <w:noWrap/>
            <w:vAlign w:val="bottom"/>
            <w:hideMark/>
          </w:tcPr>
          <w:p w14:paraId="1B9B7BDF"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$640,000</w:t>
            </w:r>
          </w:p>
        </w:tc>
        <w:tc>
          <w:tcPr>
            <w:tcW w:w="685" w:type="dxa"/>
            <w:tcBorders>
              <w:top w:val="nil"/>
              <w:left w:val="single" w:sz="4" w:space="0" w:color="auto"/>
              <w:bottom w:val="nil"/>
              <w:right w:val="nil"/>
            </w:tcBorders>
            <w:shd w:val="clear" w:color="auto" w:fill="auto"/>
            <w:noWrap/>
            <w:vAlign w:val="bottom"/>
            <w:hideMark/>
          </w:tcPr>
          <w:p w14:paraId="36EBED1C"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10%</w:t>
            </w:r>
          </w:p>
        </w:tc>
        <w:tc>
          <w:tcPr>
            <w:tcW w:w="1094" w:type="dxa"/>
            <w:tcBorders>
              <w:top w:val="nil"/>
              <w:left w:val="nil"/>
              <w:bottom w:val="nil"/>
              <w:right w:val="single" w:sz="4" w:space="0" w:color="auto"/>
            </w:tcBorders>
            <w:shd w:val="clear" w:color="auto" w:fill="auto"/>
            <w:noWrap/>
            <w:vAlign w:val="bottom"/>
            <w:hideMark/>
          </w:tcPr>
          <w:p w14:paraId="13F40F8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$62,745</w:t>
            </w:r>
          </w:p>
        </w:tc>
      </w:tr>
      <w:tr w:rsidR="00FA6648" w:rsidRPr="00C5560D" w14:paraId="64B5F355" w14:textId="77777777" w:rsidTr="00D85985">
        <w:trPr>
          <w:trHeight w:val="267"/>
        </w:trPr>
        <w:tc>
          <w:tcPr>
            <w:tcW w:w="4860" w:type="dxa"/>
            <w:tcBorders>
              <w:top w:val="nil"/>
              <w:left w:val="nil"/>
              <w:bottom w:val="nil"/>
              <w:right w:val="nil"/>
            </w:tcBorders>
            <w:shd w:val="clear" w:color="auto" w:fill="auto"/>
            <w:noWrap/>
            <w:vAlign w:val="bottom"/>
            <w:hideMark/>
          </w:tcPr>
          <w:p w14:paraId="4B251C9C"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T2A. Lagoon Aeration Imp - Phase 1</w:t>
            </w:r>
          </w:p>
        </w:tc>
        <w:tc>
          <w:tcPr>
            <w:tcW w:w="981" w:type="dxa"/>
            <w:tcBorders>
              <w:top w:val="nil"/>
              <w:left w:val="nil"/>
              <w:bottom w:val="nil"/>
              <w:right w:val="nil"/>
            </w:tcBorders>
            <w:shd w:val="clear" w:color="auto" w:fill="auto"/>
            <w:noWrap/>
            <w:vAlign w:val="bottom"/>
            <w:hideMark/>
          </w:tcPr>
          <w:p w14:paraId="69C76276"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61F56AA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$430,000</w:t>
            </w:r>
          </w:p>
        </w:tc>
        <w:tc>
          <w:tcPr>
            <w:tcW w:w="685" w:type="dxa"/>
            <w:tcBorders>
              <w:top w:val="nil"/>
              <w:left w:val="single" w:sz="4" w:space="0" w:color="auto"/>
              <w:bottom w:val="nil"/>
              <w:right w:val="nil"/>
            </w:tcBorders>
            <w:shd w:val="clear" w:color="auto" w:fill="auto"/>
            <w:noWrap/>
            <w:vAlign w:val="bottom"/>
            <w:hideMark/>
          </w:tcPr>
          <w:p w14:paraId="1F08A936"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25%</w:t>
            </w:r>
          </w:p>
        </w:tc>
        <w:tc>
          <w:tcPr>
            <w:tcW w:w="1094" w:type="dxa"/>
            <w:tcBorders>
              <w:top w:val="nil"/>
              <w:left w:val="nil"/>
              <w:bottom w:val="nil"/>
              <w:right w:val="single" w:sz="4" w:space="0" w:color="auto"/>
            </w:tcBorders>
            <w:shd w:val="clear" w:color="auto" w:fill="auto"/>
            <w:noWrap/>
            <w:vAlign w:val="bottom"/>
            <w:hideMark/>
          </w:tcPr>
          <w:p w14:paraId="2A5046B9"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$105,738</w:t>
            </w:r>
          </w:p>
        </w:tc>
      </w:tr>
      <w:tr w:rsidR="00FA6648" w:rsidRPr="00C5560D" w14:paraId="1448AAAB" w14:textId="77777777" w:rsidTr="00D85985">
        <w:trPr>
          <w:trHeight w:val="267"/>
        </w:trPr>
        <w:tc>
          <w:tcPr>
            <w:tcW w:w="4860" w:type="dxa"/>
            <w:tcBorders>
              <w:top w:val="nil"/>
              <w:left w:val="nil"/>
              <w:bottom w:val="nil"/>
              <w:right w:val="nil"/>
            </w:tcBorders>
            <w:shd w:val="clear" w:color="auto" w:fill="auto"/>
            <w:noWrap/>
            <w:vAlign w:val="bottom"/>
            <w:hideMark/>
          </w:tcPr>
          <w:p w14:paraId="3344F2B3"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T3A. Lagoon Capacity Improvements - Raise Dikes</w:t>
            </w:r>
          </w:p>
        </w:tc>
        <w:tc>
          <w:tcPr>
            <w:tcW w:w="981" w:type="dxa"/>
            <w:tcBorders>
              <w:top w:val="nil"/>
              <w:left w:val="nil"/>
              <w:bottom w:val="nil"/>
              <w:right w:val="nil"/>
            </w:tcBorders>
            <w:shd w:val="clear" w:color="auto" w:fill="auto"/>
            <w:noWrap/>
            <w:vAlign w:val="bottom"/>
            <w:hideMark/>
          </w:tcPr>
          <w:p w14:paraId="771F894D"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1DDD090C"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$620,000</w:t>
            </w:r>
          </w:p>
        </w:tc>
        <w:tc>
          <w:tcPr>
            <w:tcW w:w="685" w:type="dxa"/>
            <w:tcBorders>
              <w:top w:val="nil"/>
              <w:left w:val="single" w:sz="4" w:space="0" w:color="auto"/>
              <w:bottom w:val="nil"/>
              <w:right w:val="nil"/>
            </w:tcBorders>
            <w:shd w:val="clear" w:color="auto" w:fill="auto"/>
            <w:noWrap/>
            <w:vAlign w:val="bottom"/>
            <w:hideMark/>
          </w:tcPr>
          <w:p w14:paraId="43B0C91B"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32%</w:t>
            </w:r>
          </w:p>
        </w:tc>
        <w:tc>
          <w:tcPr>
            <w:tcW w:w="1094" w:type="dxa"/>
            <w:tcBorders>
              <w:top w:val="nil"/>
              <w:left w:val="nil"/>
              <w:bottom w:val="nil"/>
              <w:right w:val="single" w:sz="4" w:space="0" w:color="auto"/>
            </w:tcBorders>
            <w:shd w:val="clear" w:color="auto" w:fill="auto"/>
            <w:noWrap/>
            <w:vAlign w:val="bottom"/>
            <w:hideMark/>
          </w:tcPr>
          <w:p w14:paraId="701FF00A"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$199,778</w:t>
            </w:r>
          </w:p>
        </w:tc>
      </w:tr>
      <w:tr w:rsidR="00FA6648" w:rsidRPr="00C5560D" w14:paraId="5E198893" w14:textId="77777777" w:rsidTr="00D85985">
        <w:trPr>
          <w:trHeight w:val="267"/>
        </w:trPr>
        <w:tc>
          <w:tcPr>
            <w:tcW w:w="4860" w:type="dxa"/>
            <w:tcBorders>
              <w:top w:val="nil"/>
              <w:left w:val="nil"/>
              <w:bottom w:val="nil"/>
              <w:right w:val="nil"/>
            </w:tcBorders>
            <w:shd w:val="clear" w:color="auto" w:fill="auto"/>
            <w:noWrap/>
            <w:vAlign w:val="bottom"/>
            <w:hideMark/>
          </w:tcPr>
          <w:p w14:paraId="42C81F7D"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T4. Lagoon Piping Improvements</w:t>
            </w:r>
          </w:p>
        </w:tc>
        <w:tc>
          <w:tcPr>
            <w:tcW w:w="981" w:type="dxa"/>
            <w:tcBorders>
              <w:top w:val="nil"/>
              <w:left w:val="nil"/>
              <w:bottom w:val="nil"/>
              <w:right w:val="nil"/>
            </w:tcBorders>
            <w:shd w:val="clear" w:color="auto" w:fill="auto"/>
            <w:noWrap/>
            <w:vAlign w:val="bottom"/>
            <w:hideMark/>
          </w:tcPr>
          <w:p w14:paraId="126CCF30"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21698A5B"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$410,000</w:t>
            </w:r>
          </w:p>
        </w:tc>
        <w:tc>
          <w:tcPr>
            <w:tcW w:w="685" w:type="dxa"/>
            <w:tcBorders>
              <w:top w:val="nil"/>
              <w:left w:val="single" w:sz="4" w:space="0" w:color="auto"/>
              <w:bottom w:val="nil"/>
              <w:right w:val="nil"/>
            </w:tcBorders>
            <w:shd w:val="clear" w:color="auto" w:fill="auto"/>
            <w:noWrap/>
            <w:vAlign w:val="bottom"/>
            <w:hideMark/>
          </w:tcPr>
          <w:p w14:paraId="68ED8C50"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17%</w:t>
            </w:r>
          </w:p>
        </w:tc>
        <w:tc>
          <w:tcPr>
            <w:tcW w:w="1094" w:type="dxa"/>
            <w:tcBorders>
              <w:top w:val="nil"/>
              <w:left w:val="nil"/>
              <w:bottom w:val="nil"/>
              <w:right w:val="single" w:sz="4" w:space="0" w:color="auto"/>
            </w:tcBorders>
            <w:shd w:val="clear" w:color="auto" w:fill="auto"/>
            <w:noWrap/>
            <w:vAlign w:val="bottom"/>
            <w:hideMark/>
          </w:tcPr>
          <w:p w14:paraId="7C2CCF4C"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$68,333</w:t>
            </w:r>
          </w:p>
        </w:tc>
      </w:tr>
      <w:tr w:rsidR="00FA6648" w:rsidRPr="00C5560D" w14:paraId="7506253B" w14:textId="77777777" w:rsidTr="00D85985">
        <w:trPr>
          <w:trHeight w:val="267"/>
        </w:trPr>
        <w:tc>
          <w:tcPr>
            <w:tcW w:w="4860" w:type="dxa"/>
            <w:tcBorders>
              <w:top w:val="nil"/>
              <w:left w:val="nil"/>
              <w:bottom w:val="nil"/>
              <w:right w:val="nil"/>
            </w:tcBorders>
            <w:shd w:val="clear" w:color="auto" w:fill="auto"/>
            <w:noWrap/>
            <w:vAlign w:val="bottom"/>
            <w:hideMark/>
          </w:tcPr>
          <w:p w14:paraId="149953E2"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T5. Lagoon Disinfection Improvements</w:t>
            </w:r>
          </w:p>
        </w:tc>
        <w:tc>
          <w:tcPr>
            <w:tcW w:w="981" w:type="dxa"/>
            <w:tcBorders>
              <w:top w:val="nil"/>
              <w:left w:val="nil"/>
              <w:bottom w:val="nil"/>
              <w:right w:val="nil"/>
            </w:tcBorders>
            <w:shd w:val="clear" w:color="auto" w:fill="auto"/>
            <w:noWrap/>
            <w:vAlign w:val="bottom"/>
            <w:hideMark/>
          </w:tcPr>
          <w:p w14:paraId="5933CED4"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18D2969B"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$230,000</w:t>
            </w:r>
          </w:p>
        </w:tc>
        <w:tc>
          <w:tcPr>
            <w:tcW w:w="685" w:type="dxa"/>
            <w:tcBorders>
              <w:top w:val="nil"/>
              <w:left w:val="single" w:sz="4" w:space="0" w:color="auto"/>
              <w:bottom w:val="nil"/>
              <w:right w:val="nil"/>
            </w:tcBorders>
            <w:shd w:val="clear" w:color="auto" w:fill="auto"/>
            <w:noWrap/>
            <w:vAlign w:val="bottom"/>
            <w:hideMark/>
          </w:tcPr>
          <w:p w14:paraId="61E882B6"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17%</w:t>
            </w:r>
          </w:p>
        </w:tc>
        <w:tc>
          <w:tcPr>
            <w:tcW w:w="1094" w:type="dxa"/>
            <w:tcBorders>
              <w:top w:val="nil"/>
              <w:left w:val="nil"/>
              <w:bottom w:val="nil"/>
              <w:right w:val="single" w:sz="4" w:space="0" w:color="auto"/>
            </w:tcBorders>
            <w:shd w:val="clear" w:color="auto" w:fill="auto"/>
            <w:noWrap/>
            <w:vAlign w:val="bottom"/>
            <w:hideMark/>
          </w:tcPr>
          <w:p w14:paraId="2FEB681E"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$38,333</w:t>
            </w:r>
          </w:p>
        </w:tc>
      </w:tr>
      <w:tr w:rsidR="00FA6648" w:rsidRPr="00C5560D" w14:paraId="23843D30" w14:textId="77777777" w:rsidTr="00D85985">
        <w:trPr>
          <w:trHeight w:val="267"/>
        </w:trPr>
        <w:tc>
          <w:tcPr>
            <w:tcW w:w="4860" w:type="dxa"/>
            <w:tcBorders>
              <w:top w:val="nil"/>
              <w:left w:val="nil"/>
              <w:bottom w:val="nil"/>
              <w:right w:val="nil"/>
            </w:tcBorders>
            <w:shd w:val="clear" w:color="auto" w:fill="auto"/>
            <w:noWrap/>
            <w:vAlign w:val="bottom"/>
            <w:hideMark/>
          </w:tcPr>
          <w:p w14:paraId="07CF3C94"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T6. Miscellaneous Plant Improvements</w:t>
            </w:r>
          </w:p>
        </w:tc>
        <w:tc>
          <w:tcPr>
            <w:tcW w:w="981" w:type="dxa"/>
            <w:tcBorders>
              <w:top w:val="nil"/>
              <w:left w:val="nil"/>
              <w:bottom w:val="nil"/>
              <w:right w:val="nil"/>
            </w:tcBorders>
            <w:shd w:val="clear" w:color="auto" w:fill="auto"/>
            <w:noWrap/>
            <w:vAlign w:val="bottom"/>
            <w:hideMark/>
          </w:tcPr>
          <w:p w14:paraId="34539BDC"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2027</w:t>
            </w:r>
          </w:p>
        </w:tc>
        <w:tc>
          <w:tcPr>
            <w:tcW w:w="1188" w:type="dxa"/>
            <w:tcBorders>
              <w:top w:val="nil"/>
              <w:left w:val="nil"/>
              <w:bottom w:val="nil"/>
              <w:right w:val="nil"/>
            </w:tcBorders>
            <w:shd w:val="clear" w:color="auto" w:fill="auto"/>
            <w:noWrap/>
            <w:vAlign w:val="bottom"/>
            <w:hideMark/>
          </w:tcPr>
          <w:p w14:paraId="39E061EC"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$440,000</w:t>
            </w:r>
          </w:p>
        </w:tc>
        <w:tc>
          <w:tcPr>
            <w:tcW w:w="685" w:type="dxa"/>
            <w:tcBorders>
              <w:top w:val="nil"/>
              <w:left w:val="single" w:sz="4" w:space="0" w:color="auto"/>
              <w:bottom w:val="nil"/>
              <w:right w:val="nil"/>
            </w:tcBorders>
            <w:shd w:val="clear" w:color="auto" w:fill="auto"/>
            <w:noWrap/>
            <w:vAlign w:val="bottom"/>
            <w:hideMark/>
          </w:tcPr>
          <w:p w14:paraId="70195EC4" w14:textId="7B3E3E2F" w:rsidR="00FA6648" w:rsidRPr="00C5560D" w:rsidRDefault="00FA6648" w:rsidP="00C40FD9">
            <w:pPr>
              <w:jc w:val="right"/>
              <w:rPr>
                <w:rFonts w:ascii="Arial" w:hAnsi="Arial" w:cs="Arial"/>
                <w:color w:val="000000" w:themeColor="text1"/>
                <w:sz w:val="16"/>
                <w:szCs w:val="16"/>
              </w:rPr>
            </w:pPr>
            <w:r w:rsidRPr="00C5560D">
              <w:rPr>
                <w:rFonts w:ascii="Arial" w:hAnsi="Arial" w:cs="Arial"/>
                <w:color w:val="000000" w:themeColor="text1"/>
                <w:sz w:val="16"/>
                <w:szCs w:val="16"/>
              </w:rPr>
              <w:t>2</w:t>
            </w:r>
            <w:r w:rsidR="00C40FD9">
              <w:rPr>
                <w:rFonts w:ascii="Arial" w:hAnsi="Arial" w:cs="Arial"/>
                <w:color w:val="000000" w:themeColor="text1"/>
                <w:sz w:val="16"/>
                <w:szCs w:val="16"/>
              </w:rPr>
              <w:t>6</w:t>
            </w:r>
            <w:r w:rsidRPr="00C5560D">
              <w:rPr>
                <w:rFonts w:ascii="Arial" w:hAnsi="Arial" w:cs="Arial"/>
                <w:color w:val="000000" w:themeColor="text1"/>
                <w:sz w:val="16"/>
                <w:szCs w:val="16"/>
              </w:rPr>
              <w:t>%</w:t>
            </w:r>
          </w:p>
        </w:tc>
        <w:tc>
          <w:tcPr>
            <w:tcW w:w="1094" w:type="dxa"/>
            <w:tcBorders>
              <w:top w:val="nil"/>
              <w:left w:val="nil"/>
              <w:bottom w:val="nil"/>
              <w:right w:val="single" w:sz="4" w:space="0" w:color="auto"/>
            </w:tcBorders>
            <w:shd w:val="clear" w:color="auto" w:fill="auto"/>
            <w:noWrap/>
            <w:vAlign w:val="bottom"/>
            <w:hideMark/>
          </w:tcPr>
          <w:p w14:paraId="185582B6" w14:textId="54C42D8E" w:rsidR="00FA6648" w:rsidRPr="00C5560D" w:rsidRDefault="00FA6648" w:rsidP="00C40FD9">
            <w:pPr>
              <w:jc w:val="right"/>
              <w:rPr>
                <w:rFonts w:ascii="Arial" w:hAnsi="Arial" w:cs="Arial"/>
                <w:color w:val="000000" w:themeColor="text1"/>
                <w:sz w:val="16"/>
                <w:szCs w:val="16"/>
              </w:rPr>
            </w:pPr>
            <w:r w:rsidRPr="00C5560D">
              <w:rPr>
                <w:rFonts w:ascii="Arial" w:hAnsi="Arial" w:cs="Arial"/>
                <w:color w:val="000000" w:themeColor="text1"/>
                <w:sz w:val="16"/>
                <w:szCs w:val="16"/>
              </w:rPr>
              <w:t>$1</w:t>
            </w:r>
            <w:r w:rsidR="00C40FD9">
              <w:rPr>
                <w:rFonts w:ascii="Arial" w:hAnsi="Arial" w:cs="Arial"/>
                <w:color w:val="000000" w:themeColor="text1"/>
                <w:sz w:val="16"/>
                <w:szCs w:val="16"/>
              </w:rPr>
              <w:t>16</w:t>
            </w:r>
            <w:r w:rsidRPr="00C5560D">
              <w:rPr>
                <w:rFonts w:ascii="Arial" w:hAnsi="Arial" w:cs="Arial"/>
                <w:color w:val="000000" w:themeColor="text1"/>
                <w:sz w:val="16"/>
                <w:szCs w:val="16"/>
              </w:rPr>
              <w:t>,</w:t>
            </w:r>
            <w:r w:rsidR="00C40FD9">
              <w:rPr>
                <w:rFonts w:ascii="Arial" w:hAnsi="Arial" w:cs="Arial"/>
                <w:color w:val="000000" w:themeColor="text1"/>
                <w:sz w:val="16"/>
                <w:szCs w:val="16"/>
              </w:rPr>
              <w:t>330</w:t>
            </w:r>
          </w:p>
        </w:tc>
      </w:tr>
      <w:tr w:rsidR="00FA6648" w:rsidRPr="00C5560D" w14:paraId="3B8AC708" w14:textId="77777777" w:rsidTr="00D85985">
        <w:trPr>
          <w:trHeight w:val="267"/>
        </w:trPr>
        <w:tc>
          <w:tcPr>
            <w:tcW w:w="4860" w:type="dxa"/>
            <w:tcBorders>
              <w:top w:val="nil"/>
              <w:left w:val="nil"/>
              <w:bottom w:val="nil"/>
              <w:right w:val="nil"/>
            </w:tcBorders>
            <w:shd w:val="clear" w:color="auto" w:fill="auto"/>
            <w:noWrap/>
            <w:vAlign w:val="bottom"/>
            <w:hideMark/>
          </w:tcPr>
          <w:p w14:paraId="232C0F57"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T7. Raise Access Rd</w:t>
            </w:r>
          </w:p>
        </w:tc>
        <w:tc>
          <w:tcPr>
            <w:tcW w:w="981" w:type="dxa"/>
            <w:tcBorders>
              <w:top w:val="nil"/>
              <w:left w:val="nil"/>
              <w:bottom w:val="nil"/>
              <w:right w:val="nil"/>
            </w:tcBorders>
            <w:shd w:val="clear" w:color="auto" w:fill="auto"/>
            <w:noWrap/>
            <w:vAlign w:val="bottom"/>
            <w:hideMark/>
          </w:tcPr>
          <w:p w14:paraId="6C553938"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2027</w:t>
            </w:r>
          </w:p>
        </w:tc>
        <w:tc>
          <w:tcPr>
            <w:tcW w:w="1188" w:type="dxa"/>
            <w:tcBorders>
              <w:top w:val="nil"/>
              <w:left w:val="nil"/>
              <w:bottom w:val="nil"/>
              <w:right w:val="nil"/>
            </w:tcBorders>
            <w:shd w:val="clear" w:color="auto" w:fill="auto"/>
            <w:noWrap/>
            <w:vAlign w:val="bottom"/>
            <w:hideMark/>
          </w:tcPr>
          <w:p w14:paraId="1F704506"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$400,000</w:t>
            </w:r>
          </w:p>
        </w:tc>
        <w:tc>
          <w:tcPr>
            <w:tcW w:w="685" w:type="dxa"/>
            <w:tcBorders>
              <w:top w:val="nil"/>
              <w:left w:val="single" w:sz="4" w:space="0" w:color="auto"/>
              <w:bottom w:val="nil"/>
              <w:right w:val="nil"/>
            </w:tcBorders>
            <w:shd w:val="clear" w:color="auto" w:fill="auto"/>
            <w:noWrap/>
            <w:vAlign w:val="bottom"/>
            <w:hideMark/>
          </w:tcPr>
          <w:p w14:paraId="3114CCC0"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c>
          <w:tcPr>
            <w:tcW w:w="1094" w:type="dxa"/>
            <w:tcBorders>
              <w:top w:val="nil"/>
              <w:left w:val="nil"/>
              <w:bottom w:val="nil"/>
              <w:right w:val="single" w:sz="4" w:space="0" w:color="auto"/>
            </w:tcBorders>
            <w:shd w:val="clear" w:color="auto" w:fill="auto"/>
            <w:noWrap/>
            <w:vAlign w:val="bottom"/>
            <w:hideMark/>
          </w:tcPr>
          <w:p w14:paraId="05FFA5DD"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r>
      <w:tr w:rsidR="00FA6648" w:rsidRPr="00C5560D" w14:paraId="6169D504" w14:textId="77777777" w:rsidTr="00D85985">
        <w:trPr>
          <w:trHeight w:val="267"/>
        </w:trPr>
        <w:tc>
          <w:tcPr>
            <w:tcW w:w="4860" w:type="dxa"/>
            <w:tcBorders>
              <w:top w:val="nil"/>
              <w:left w:val="nil"/>
              <w:bottom w:val="nil"/>
              <w:right w:val="nil"/>
            </w:tcBorders>
            <w:shd w:val="clear" w:color="auto" w:fill="auto"/>
            <w:noWrap/>
            <w:vAlign w:val="bottom"/>
            <w:hideMark/>
          </w:tcPr>
          <w:p w14:paraId="56025D24"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T8. Effluent Pump Station</w:t>
            </w:r>
          </w:p>
        </w:tc>
        <w:tc>
          <w:tcPr>
            <w:tcW w:w="981" w:type="dxa"/>
            <w:tcBorders>
              <w:top w:val="nil"/>
              <w:left w:val="nil"/>
              <w:bottom w:val="nil"/>
              <w:right w:val="nil"/>
            </w:tcBorders>
            <w:shd w:val="clear" w:color="auto" w:fill="auto"/>
            <w:noWrap/>
            <w:vAlign w:val="bottom"/>
            <w:hideMark/>
          </w:tcPr>
          <w:p w14:paraId="33BC02C0"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0CA9B8EF"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$800,000</w:t>
            </w:r>
          </w:p>
        </w:tc>
        <w:tc>
          <w:tcPr>
            <w:tcW w:w="685" w:type="dxa"/>
            <w:tcBorders>
              <w:top w:val="nil"/>
              <w:left w:val="single" w:sz="4" w:space="0" w:color="auto"/>
              <w:bottom w:val="nil"/>
              <w:right w:val="nil"/>
            </w:tcBorders>
            <w:shd w:val="clear" w:color="auto" w:fill="auto"/>
            <w:noWrap/>
            <w:vAlign w:val="bottom"/>
            <w:hideMark/>
          </w:tcPr>
          <w:p w14:paraId="66285D3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17%</w:t>
            </w:r>
          </w:p>
        </w:tc>
        <w:tc>
          <w:tcPr>
            <w:tcW w:w="1094" w:type="dxa"/>
            <w:tcBorders>
              <w:top w:val="nil"/>
              <w:left w:val="nil"/>
              <w:bottom w:val="nil"/>
              <w:right w:val="single" w:sz="4" w:space="0" w:color="auto"/>
            </w:tcBorders>
            <w:shd w:val="clear" w:color="auto" w:fill="auto"/>
            <w:noWrap/>
            <w:vAlign w:val="bottom"/>
            <w:hideMark/>
          </w:tcPr>
          <w:p w14:paraId="358C4618"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$133,333</w:t>
            </w:r>
          </w:p>
        </w:tc>
      </w:tr>
      <w:tr w:rsidR="00FA6648" w:rsidRPr="00C5560D" w14:paraId="11965463" w14:textId="77777777" w:rsidTr="00D85985">
        <w:trPr>
          <w:trHeight w:val="267"/>
        </w:trPr>
        <w:tc>
          <w:tcPr>
            <w:tcW w:w="4860" w:type="dxa"/>
            <w:tcBorders>
              <w:top w:val="nil"/>
              <w:left w:val="nil"/>
              <w:bottom w:val="nil"/>
              <w:right w:val="nil"/>
            </w:tcBorders>
            <w:shd w:val="clear" w:color="auto" w:fill="auto"/>
            <w:noWrap/>
            <w:vAlign w:val="bottom"/>
            <w:hideMark/>
          </w:tcPr>
          <w:p w14:paraId="341DF38A"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T9. Effluent Force Main and River Outfall</w:t>
            </w:r>
          </w:p>
        </w:tc>
        <w:tc>
          <w:tcPr>
            <w:tcW w:w="981" w:type="dxa"/>
            <w:tcBorders>
              <w:top w:val="nil"/>
              <w:left w:val="nil"/>
              <w:bottom w:val="nil"/>
              <w:right w:val="nil"/>
            </w:tcBorders>
            <w:shd w:val="clear" w:color="auto" w:fill="auto"/>
            <w:noWrap/>
            <w:vAlign w:val="bottom"/>
            <w:hideMark/>
          </w:tcPr>
          <w:p w14:paraId="7C14BCFC"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05BC9DC6"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$810,000</w:t>
            </w:r>
          </w:p>
        </w:tc>
        <w:tc>
          <w:tcPr>
            <w:tcW w:w="685" w:type="dxa"/>
            <w:tcBorders>
              <w:top w:val="nil"/>
              <w:left w:val="single" w:sz="4" w:space="0" w:color="auto"/>
              <w:bottom w:val="nil"/>
              <w:right w:val="nil"/>
            </w:tcBorders>
            <w:shd w:val="clear" w:color="auto" w:fill="auto"/>
            <w:noWrap/>
            <w:vAlign w:val="bottom"/>
            <w:hideMark/>
          </w:tcPr>
          <w:p w14:paraId="2FFD5D8B"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17%</w:t>
            </w:r>
          </w:p>
        </w:tc>
        <w:tc>
          <w:tcPr>
            <w:tcW w:w="1094" w:type="dxa"/>
            <w:tcBorders>
              <w:top w:val="nil"/>
              <w:left w:val="nil"/>
              <w:bottom w:val="nil"/>
              <w:right w:val="single" w:sz="4" w:space="0" w:color="auto"/>
            </w:tcBorders>
            <w:shd w:val="clear" w:color="auto" w:fill="auto"/>
            <w:noWrap/>
            <w:vAlign w:val="bottom"/>
            <w:hideMark/>
          </w:tcPr>
          <w:p w14:paraId="25FA6235"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$135,000</w:t>
            </w:r>
          </w:p>
        </w:tc>
      </w:tr>
      <w:tr w:rsidR="00FA6648" w:rsidRPr="00C5560D" w14:paraId="74423AF4" w14:textId="77777777" w:rsidTr="00D85985">
        <w:trPr>
          <w:trHeight w:val="267"/>
        </w:trPr>
        <w:tc>
          <w:tcPr>
            <w:tcW w:w="4860" w:type="dxa"/>
            <w:tcBorders>
              <w:top w:val="nil"/>
              <w:left w:val="nil"/>
              <w:bottom w:val="nil"/>
              <w:right w:val="nil"/>
            </w:tcBorders>
            <w:shd w:val="clear" w:color="auto" w:fill="auto"/>
            <w:noWrap/>
            <w:vAlign w:val="bottom"/>
            <w:hideMark/>
          </w:tcPr>
          <w:p w14:paraId="4F30183B"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T10. Irrigation Piping and Equipment</w:t>
            </w:r>
          </w:p>
        </w:tc>
        <w:tc>
          <w:tcPr>
            <w:tcW w:w="981" w:type="dxa"/>
            <w:tcBorders>
              <w:top w:val="nil"/>
              <w:left w:val="nil"/>
              <w:bottom w:val="nil"/>
              <w:right w:val="nil"/>
            </w:tcBorders>
            <w:shd w:val="clear" w:color="auto" w:fill="auto"/>
            <w:noWrap/>
            <w:vAlign w:val="bottom"/>
            <w:hideMark/>
          </w:tcPr>
          <w:p w14:paraId="031E671B" w14:textId="77777777" w:rsidR="00FA6648" w:rsidRPr="00C5560D" w:rsidRDefault="00FA6648" w:rsidP="00DE6E66">
            <w:pPr>
              <w:jc w:val="center"/>
              <w:rPr>
                <w:rFonts w:ascii="Arial" w:hAnsi="Arial" w:cs="Arial"/>
                <w:color w:val="000000" w:themeColor="text1"/>
                <w:sz w:val="16"/>
                <w:szCs w:val="16"/>
              </w:rPr>
            </w:pPr>
            <w:r w:rsidRPr="00C5560D">
              <w:rPr>
                <w:rFonts w:ascii="Arial" w:hAnsi="Arial" w:cs="Arial"/>
                <w:color w:val="000000" w:themeColor="text1"/>
                <w:sz w:val="16"/>
                <w:szCs w:val="16"/>
              </w:rPr>
              <w:t>2022</w:t>
            </w:r>
          </w:p>
        </w:tc>
        <w:tc>
          <w:tcPr>
            <w:tcW w:w="1188" w:type="dxa"/>
            <w:tcBorders>
              <w:top w:val="nil"/>
              <w:left w:val="nil"/>
              <w:bottom w:val="nil"/>
              <w:right w:val="nil"/>
            </w:tcBorders>
            <w:shd w:val="clear" w:color="auto" w:fill="auto"/>
            <w:noWrap/>
            <w:vAlign w:val="bottom"/>
            <w:hideMark/>
          </w:tcPr>
          <w:p w14:paraId="27ADE40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$590,000</w:t>
            </w:r>
          </w:p>
        </w:tc>
        <w:tc>
          <w:tcPr>
            <w:tcW w:w="685" w:type="dxa"/>
            <w:tcBorders>
              <w:top w:val="nil"/>
              <w:left w:val="single" w:sz="4" w:space="0" w:color="auto"/>
              <w:bottom w:val="nil"/>
              <w:right w:val="nil"/>
            </w:tcBorders>
            <w:shd w:val="clear" w:color="auto" w:fill="auto"/>
            <w:noWrap/>
            <w:vAlign w:val="bottom"/>
            <w:hideMark/>
          </w:tcPr>
          <w:p w14:paraId="5510FB17"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33%</w:t>
            </w:r>
          </w:p>
        </w:tc>
        <w:tc>
          <w:tcPr>
            <w:tcW w:w="1094" w:type="dxa"/>
            <w:tcBorders>
              <w:top w:val="nil"/>
              <w:left w:val="nil"/>
              <w:bottom w:val="nil"/>
              <w:right w:val="single" w:sz="4" w:space="0" w:color="auto"/>
            </w:tcBorders>
            <w:shd w:val="clear" w:color="auto" w:fill="auto"/>
            <w:noWrap/>
            <w:vAlign w:val="bottom"/>
            <w:hideMark/>
          </w:tcPr>
          <w:p w14:paraId="077D7D7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$193,443</w:t>
            </w:r>
          </w:p>
        </w:tc>
      </w:tr>
      <w:tr w:rsidR="00FA6648" w:rsidRPr="00C5560D" w14:paraId="09929FB7" w14:textId="77777777" w:rsidTr="00D85985">
        <w:trPr>
          <w:trHeight w:val="267"/>
        </w:trPr>
        <w:tc>
          <w:tcPr>
            <w:tcW w:w="4860" w:type="dxa"/>
            <w:tcBorders>
              <w:top w:val="nil"/>
              <w:left w:val="nil"/>
              <w:bottom w:val="nil"/>
              <w:right w:val="nil"/>
            </w:tcBorders>
            <w:shd w:val="clear" w:color="auto" w:fill="auto"/>
            <w:noWrap/>
            <w:vAlign w:val="bottom"/>
            <w:hideMark/>
          </w:tcPr>
          <w:p w14:paraId="2BDC99DA"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 xml:space="preserve">T11A. </w:t>
            </w:r>
            <w:proofErr w:type="spellStart"/>
            <w:r w:rsidRPr="00C5560D">
              <w:rPr>
                <w:rFonts w:ascii="Arial" w:hAnsi="Arial" w:cs="Arial"/>
                <w:color w:val="000000" w:themeColor="text1"/>
                <w:sz w:val="16"/>
                <w:szCs w:val="16"/>
              </w:rPr>
              <w:t>Biosolids</w:t>
            </w:r>
            <w:proofErr w:type="spellEnd"/>
            <w:r w:rsidRPr="00C5560D">
              <w:rPr>
                <w:rFonts w:ascii="Arial" w:hAnsi="Arial" w:cs="Arial"/>
                <w:color w:val="000000" w:themeColor="text1"/>
                <w:sz w:val="16"/>
                <w:szCs w:val="16"/>
              </w:rPr>
              <w:t xml:space="preserve"> Management Plan</w:t>
            </w:r>
          </w:p>
        </w:tc>
        <w:tc>
          <w:tcPr>
            <w:tcW w:w="981" w:type="dxa"/>
            <w:tcBorders>
              <w:top w:val="nil"/>
              <w:left w:val="nil"/>
              <w:bottom w:val="nil"/>
              <w:right w:val="nil"/>
            </w:tcBorders>
            <w:shd w:val="clear" w:color="auto" w:fill="auto"/>
            <w:noWrap/>
            <w:vAlign w:val="bottom"/>
            <w:hideMark/>
          </w:tcPr>
          <w:p w14:paraId="490719BC" w14:textId="77777777" w:rsidR="00FA6648" w:rsidRPr="00C5560D" w:rsidRDefault="00FA6648" w:rsidP="00DE6E66">
            <w:pPr>
              <w:rPr>
                <w:rFonts w:ascii="Arial" w:hAnsi="Arial" w:cs="Arial"/>
                <w:color w:val="000000" w:themeColor="text1"/>
                <w:sz w:val="16"/>
                <w:szCs w:val="16"/>
              </w:rPr>
            </w:pPr>
          </w:p>
        </w:tc>
        <w:tc>
          <w:tcPr>
            <w:tcW w:w="1188" w:type="dxa"/>
            <w:tcBorders>
              <w:top w:val="nil"/>
              <w:left w:val="nil"/>
              <w:bottom w:val="nil"/>
              <w:right w:val="nil"/>
            </w:tcBorders>
            <w:shd w:val="clear" w:color="auto" w:fill="auto"/>
            <w:noWrap/>
            <w:vAlign w:val="bottom"/>
            <w:hideMark/>
          </w:tcPr>
          <w:p w14:paraId="4B3DFB61"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$20,000</w:t>
            </w:r>
          </w:p>
        </w:tc>
        <w:tc>
          <w:tcPr>
            <w:tcW w:w="685" w:type="dxa"/>
            <w:tcBorders>
              <w:top w:val="nil"/>
              <w:left w:val="single" w:sz="4" w:space="0" w:color="auto"/>
              <w:bottom w:val="nil"/>
              <w:right w:val="nil"/>
            </w:tcBorders>
            <w:shd w:val="clear" w:color="auto" w:fill="auto"/>
            <w:noWrap/>
            <w:vAlign w:val="bottom"/>
            <w:hideMark/>
          </w:tcPr>
          <w:p w14:paraId="23E184F8"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c>
          <w:tcPr>
            <w:tcW w:w="1094" w:type="dxa"/>
            <w:tcBorders>
              <w:top w:val="nil"/>
              <w:left w:val="nil"/>
              <w:bottom w:val="nil"/>
              <w:right w:val="single" w:sz="4" w:space="0" w:color="auto"/>
            </w:tcBorders>
            <w:shd w:val="clear" w:color="auto" w:fill="auto"/>
            <w:noWrap/>
            <w:vAlign w:val="bottom"/>
            <w:hideMark/>
          </w:tcPr>
          <w:p w14:paraId="1DB6D192"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r>
      <w:tr w:rsidR="00FA6648" w:rsidRPr="00C5560D" w14:paraId="6899C13E" w14:textId="77777777" w:rsidTr="00D85985">
        <w:trPr>
          <w:trHeight w:val="267"/>
        </w:trPr>
        <w:tc>
          <w:tcPr>
            <w:tcW w:w="4860" w:type="dxa"/>
            <w:tcBorders>
              <w:top w:val="nil"/>
              <w:left w:val="nil"/>
              <w:bottom w:val="nil"/>
              <w:right w:val="nil"/>
            </w:tcBorders>
            <w:shd w:val="clear" w:color="auto" w:fill="auto"/>
            <w:noWrap/>
            <w:vAlign w:val="bottom"/>
            <w:hideMark/>
          </w:tcPr>
          <w:p w14:paraId="5905E281"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 xml:space="preserve">T11B. Dredging and </w:t>
            </w:r>
            <w:proofErr w:type="spellStart"/>
            <w:r w:rsidRPr="00C5560D">
              <w:rPr>
                <w:rFonts w:ascii="Arial" w:hAnsi="Arial" w:cs="Arial"/>
                <w:color w:val="000000" w:themeColor="text1"/>
                <w:sz w:val="16"/>
                <w:szCs w:val="16"/>
              </w:rPr>
              <w:t>Biosolids</w:t>
            </w:r>
            <w:proofErr w:type="spellEnd"/>
            <w:r w:rsidRPr="00C5560D">
              <w:rPr>
                <w:rFonts w:ascii="Arial" w:hAnsi="Arial" w:cs="Arial"/>
                <w:color w:val="000000" w:themeColor="text1"/>
                <w:sz w:val="16"/>
                <w:szCs w:val="16"/>
              </w:rPr>
              <w:t xml:space="preserve"> Land Application</w:t>
            </w:r>
          </w:p>
        </w:tc>
        <w:tc>
          <w:tcPr>
            <w:tcW w:w="981" w:type="dxa"/>
            <w:tcBorders>
              <w:top w:val="nil"/>
              <w:left w:val="nil"/>
              <w:bottom w:val="nil"/>
              <w:right w:val="nil"/>
            </w:tcBorders>
            <w:shd w:val="clear" w:color="auto" w:fill="auto"/>
            <w:noWrap/>
            <w:vAlign w:val="bottom"/>
            <w:hideMark/>
          </w:tcPr>
          <w:p w14:paraId="51CF6373" w14:textId="77777777" w:rsidR="00FA6648" w:rsidRPr="00C5560D" w:rsidRDefault="00FA6648" w:rsidP="00DE6E66">
            <w:pPr>
              <w:rPr>
                <w:rFonts w:ascii="Arial" w:hAnsi="Arial" w:cs="Arial"/>
                <w:color w:val="000000" w:themeColor="text1"/>
                <w:sz w:val="16"/>
                <w:szCs w:val="16"/>
              </w:rPr>
            </w:pPr>
          </w:p>
        </w:tc>
        <w:tc>
          <w:tcPr>
            <w:tcW w:w="1188" w:type="dxa"/>
            <w:tcBorders>
              <w:top w:val="nil"/>
              <w:left w:val="nil"/>
              <w:bottom w:val="nil"/>
              <w:right w:val="nil"/>
            </w:tcBorders>
            <w:shd w:val="clear" w:color="auto" w:fill="auto"/>
            <w:noWrap/>
            <w:vAlign w:val="bottom"/>
            <w:hideMark/>
          </w:tcPr>
          <w:p w14:paraId="24BF312C"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$820,000</w:t>
            </w:r>
          </w:p>
        </w:tc>
        <w:tc>
          <w:tcPr>
            <w:tcW w:w="685" w:type="dxa"/>
            <w:tcBorders>
              <w:top w:val="nil"/>
              <w:left w:val="single" w:sz="4" w:space="0" w:color="auto"/>
              <w:bottom w:val="nil"/>
              <w:right w:val="nil"/>
            </w:tcBorders>
            <w:shd w:val="clear" w:color="auto" w:fill="auto"/>
            <w:noWrap/>
            <w:vAlign w:val="bottom"/>
            <w:hideMark/>
          </w:tcPr>
          <w:p w14:paraId="55CE1F81"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c>
          <w:tcPr>
            <w:tcW w:w="1094" w:type="dxa"/>
            <w:tcBorders>
              <w:top w:val="nil"/>
              <w:left w:val="nil"/>
              <w:bottom w:val="nil"/>
              <w:right w:val="single" w:sz="4" w:space="0" w:color="auto"/>
            </w:tcBorders>
            <w:shd w:val="clear" w:color="auto" w:fill="auto"/>
            <w:noWrap/>
            <w:vAlign w:val="bottom"/>
            <w:hideMark/>
          </w:tcPr>
          <w:p w14:paraId="5F9B6C61"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r>
      <w:tr w:rsidR="00FA6648" w:rsidRPr="00C5560D" w14:paraId="4F312238" w14:textId="77777777" w:rsidTr="00D85985">
        <w:trPr>
          <w:trHeight w:val="243"/>
        </w:trPr>
        <w:tc>
          <w:tcPr>
            <w:tcW w:w="4860" w:type="dxa"/>
            <w:tcBorders>
              <w:top w:val="nil"/>
              <w:left w:val="nil"/>
              <w:bottom w:val="nil"/>
              <w:right w:val="nil"/>
            </w:tcBorders>
            <w:shd w:val="clear" w:color="auto" w:fill="auto"/>
            <w:noWrap/>
            <w:vAlign w:val="bottom"/>
            <w:hideMark/>
          </w:tcPr>
          <w:p w14:paraId="6D9758F6" w14:textId="77777777"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T2B. Lagoon Aeration Improvements - Phase 2</w:t>
            </w:r>
          </w:p>
        </w:tc>
        <w:tc>
          <w:tcPr>
            <w:tcW w:w="981" w:type="dxa"/>
            <w:tcBorders>
              <w:top w:val="nil"/>
              <w:left w:val="nil"/>
              <w:bottom w:val="nil"/>
              <w:right w:val="nil"/>
            </w:tcBorders>
            <w:shd w:val="clear" w:color="auto" w:fill="auto"/>
            <w:noWrap/>
            <w:vAlign w:val="bottom"/>
            <w:hideMark/>
          </w:tcPr>
          <w:p w14:paraId="623CD5B8" w14:textId="4FD9D12F" w:rsidR="00FA6648" w:rsidRPr="00C5560D" w:rsidRDefault="00FA6648" w:rsidP="00DE6E66">
            <w:pPr>
              <w:jc w:val="center"/>
              <w:rPr>
                <w:rFonts w:ascii="Arial" w:hAnsi="Arial" w:cs="Arial"/>
                <w:color w:val="000000" w:themeColor="text1"/>
                <w:sz w:val="16"/>
                <w:szCs w:val="16"/>
              </w:rPr>
            </w:pPr>
            <w:r>
              <w:rPr>
                <w:rFonts w:ascii="Arial" w:hAnsi="Arial" w:cs="Arial"/>
                <w:color w:val="000000" w:themeColor="text1"/>
                <w:sz w:val="16"/>
                <w:szCs w:val="16"/>
              </w:rPr>
              <w:t>2028</w:t>
            </w:r>
          </w:p>
        </w:tc>
        <w:tc>
          <w:tcPr>
            <w:tcW w:w="1188" w:type="dxa"/>
            <w:tcBorders>
              <w:top w:val="nil"/>
              <w:left w:val="nil"/>
              <w:bottom w:val="nil"/>
              <w:right w:val="nil"/>
            </w:tcBorders>
            <w:shd w:val="clear" w:color="auto" w:fill="auto"/>
            <w:vAlign w:val="bottom"/>
            <w:hideMark/>
          </w:tcPr>
          <w:p w14:paraId="6FC2BA28"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 xml:space="preserve">$60,000 </w:t>
            </w:r>
          </w:p>
        </w:tc>
        <w:tc>
          <w:tcPr>
            <w:tcW w:w="685" w:type="dxa"/>
            <w:tcBorders>
              <w:top w:val="nil"/>
              <w:left w:val="single" w:sz="4" w:space="0" w:color="auto"/>
              <w:bottom w:val="single" w:sz="4" w:space="0" w:color="auto"/>
              <w:right w:val="nil"/>
            </w:tcBorders>
            <w:shd w:val="clear" w:color="auto" w:fill="auto"/>
            <w:noWrap/>
            <w:vAlign w:val="bottom"/>
            <w:hideMark/>
          </w:tcPr>
          <w:p w14:paraId="1C6C81C0"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c>
          <w:tcPr>
            <w:tcW w:w="1094" w:type="dxa"/>
            <w:tcBorders>
              <w:top w:val="nil"/>
              <w:left w:val="nil"/>
              <w:bottom w:val="single" w:sz="4" w:space="0" w:color="auto"/>
              <w:right w:val="single" w:sz="4" w:space="0" w:color="auto"/>
            </w:tcBorders>
            <w:shd w:val="clear" w:color="auto" w:fill="auto"/>
            <w:noWrap/>
            <w:vAlign w:val="bottom"/>
            <w:hideMark/>
          </w:tcPr>
          <w:p w14:paraId="09BA67EA" w14:textId="77777777" w:rsidR="00FA6648" w:rsidRPr="00C5560D" w:rsidRDefault="00FA6648" w:rsidP="00D85985">
            <w:pPr>
              <w:jc w:val="right"/>
              <w:rPr>
                <w:rFonts w:ascii="Arial" w:hAnsi="Arial" w:cs="Arial"/>
                <w:color w:val="000000" w:themeColor="text1"/>
                <w:sz w:val="16"/>
                <w:szCs w:val="16"/>
              </w:rPr>
            </w:pPr>
            <w:r w:rsidRPr="00C5560D">
              <w:rPr>
                <w:rFonts w:ascii="Arial" w:hAnsi="Arial" w:cs="Arial"/>
                <w:color w:val="000000" w:themeColor="text1"/>
                <w:sz w:val="16"/>
                <w:szCs w:val="16"/>
              </w:rPr>
              <w:t>$0</w:t>
            </w:r>
          </w:p>
        </w:tc>
      </w:tr>
      <w:tr w:rsidR="00FA6648" w:rsidRPr="00C5560D" w14:paraId="78B371EF" w14:textId="77777777" w:rsidTr="00D85985">
        <w:trPr>
          <w:trHeight w:val="267"/>
        </w:trPr>
        <w:tc>
          <w:tcPr>
            <w:tcW w:w="4860" w:type="dxa"/>
            <w:tcBorders>
              <w:top w:val="single" w:sz="4" w:space="0" w:color="auto"/>
              <w:left w:val="single" w:sz="4" w:space="0" w:color="auto"/>
              <w:bottom w:val="single" w:sz="8" w:space="0" w:color="auto"/>
              <w:right w:val="nil"/>
            </w:tcBorders>
            <w:shd w:val="clear" w:color="auto" w:fill="auto"/>
            <w:noWrap/>
            <w:vAlign w:val="bottom"/>
            <w:hideMark/>
          </w:tcPr>
          <w:p w14:paraId="73D89526" w14:textId="77777777" w:rsidR="00FA6648" w:rsidRPr="00C5560D" w:rsidRDefault="00FA6648" w:rsidP="00DE6E66">
            <w:pPr>
              <w:rPr>
                <w:rFonts w:ascii="Arial" w:hAnsi="Arial" w:cs="Arial"/>
                <w:b/>
                <w:bCs/>
                <w:color w:val="000000" w:themeColor="text1"/>
                <w:sz w:val="16"/>
                <w:szCs w:val="16"/>
              </w:rPr>
            </w:pPr>
            <w:r w:rsidRPr="00C5560D">
              <w:rPr>
                <w:rFonts w:ascii="Arial" w:hAnsi="Arial" w:cs="Arial"/>
                <w:b/>
                <w:bCs/>
                <w:color w:val="000000" w:themeColor="text1"/>
                <w:sz w:val="16"/>
                <w:szCs w:val="16"/>
              </w:rPr>
              <w:t xml:space="preserve">Total </w:t>
            </w:r>
          </w:p>
        </w:tc>
        <w:tc>
          <w:tcPr>
            <w:tcW w:w="981" w:type="dxa"/>
            <w:tcBorders>
              <w:top w:val="single" w:sz="4" w:space="0" w:color="auto"/>
              <w:left w:val="nil"/>
              <w:bottom w:val="single" w:sz="8" w:space="0" w:color="auto"/>
              <w:right w:val="nil"/>
            </w:tcBorders>
            <w:shd w:val="clear" w:color="auto" w:fill="auto"/>
            <w:noWrap/>
            <w:vAlign w:val="center"/>
            <w:hideMark/>
          </w:tcPr>
          <w:p w14:paraId="56DEC585" w14:textId="77777777" w:rsidR="00FA6648" w:rsidRPr="00C5560D" w:rsidRDefault="00FA6648" w:rsidP="00DE6E66">
            <w:pPr>
              <w:jc w:val="right"/>
              <w:rPr>
                <w:rFonts w:ascii="Arial" w:hAnsi="Arial" w:cs="Arial"/>
                <w:b/>
                <w:bCs/>
                <w:color w:val="000000" w:themeColor="text1"/>
                <w:sz w:val="16"/>
                <w:szCs w:val="16"/>
              </w:rPr>
            </w:pPr>
            <w:r w:rsidRPr="00C5560D">
              <w:rPr>
                <w:rFonts w:ascii="Arial" w:hAnsi="Arial" w:cs="Arial"/>
                <w:b/>
                <w:bCs/>
                <w:color w:val="000000" w:themeColor="text1"/>
                <w:sz w:val="16"/>
                <w:szCs w:val="16"/>
              </w:rPr>
              <w:t> </w:t>
            </w:r>
          </w:p>
        </w:tc>
        <w:tc>
          <w:tcPr>
            <w:tcW w:w="1188" w:type="dxa"/>
            <w:tcBorders>
              <w:top w:val="single" w:sz="4" w:space="0" w:color="auto"/>
              <w:left w:val="nil"/>
              <w:bottom w:val="single" w:sz="8" w:space="0" w:color="auto"/>
              <w:right w:val="nil"/>
            </w:tcBorders>
            <w:shd w:val="clear" w:color="auto" w:fill="auto"/>
            <w:noWrap/>
            <w:vAlign w:val="bottom"/>
            <w:hideMark/>
          </w:tcPr>
          <w:p w14:paraId="7B8F1EFE" w14:textId="0F597275" w:rsidR="00FA6648" w:rsidRPr="00C5560D" w:rsidRDefault="00FA6648" w:rsidP="00C40FD9">
            <w:pPr>
              <w:jc w:val="right"/>
              <w:rPr>
                <w:rFonts w:ascii="Arial" w:hAnsi="Arial" w:cs="Arial"/>
                <w:b/>
                <w:bCs/>
                <w:color w:val="000000" w:themeColor="text1"/>
                <w:sz w:val="16"/>
                <w:szCs w:val="16"/>
              </w:rPr>
            </w:pPr>
            <w:r w:rsidRPr="00C5560D">
              <w:rPr>
                <w:rFonts w:ascii="Arial" w:hAnsi="Arial" w:cs="Arial"/>
                <w:b/>
                <w:bCs/>
                <w:color w:val="000000" w:themeColor="text1"/>
                <w:sz w:val="16"/>
                <w:szCs w:val="16"/>
              </w:rPr>
              <w:t>$12,6</w:t>
            </w:r>
            <w:r w:rsidR="00C40FD9">
              <w:rPr>
                <w:rFonts w:ascii="Arial" w:hAnsi="Arial" w:cs="Arial"/>
                <w:b/>
                <w:bCs/>
                <w:color w:val="000000" w:themeColor="text1"/>
                <w:sz w:val="16"/>
                <w:szCs w:val="16"/>
              </w:rPr>
              <w:t>85</w:t>
            </w:r>
            <w:r w:rsidRPr="00C5560D">
              <w:rPr>
                <w:rFonts w:ascii="Arial" w:hAnsi="Arial" w:cs="Arial"/>
                <w:b/>
                <w:bCs/>
                <w:color w:val="000000" w:themeColor="text1"/>
                <w:sz w:val="16"/>
                <w:szCs w:val="16"/>
              </w:rPr>
              <w:t>,</w:t>
            </w:r>
            <w:r w:rsidR="00C40FD9">
              <w:rPr>
                <w:rFonts w:ascii="Arial" w:hAnsi="Arial" w:cs="Arial"/>
                <w:b/>
                <w:bCs/>
                <w:color w:val="000000" w:themeColor="text1"/>
                <w:sz w:val="16"/>
                <w:szCs w:val="16"/>
              </w:rPr>
              <w:t>433</w:t>
            </w:r>
          </w:p>
        </w:tc>
        <w:tc>
          <w:tcPr>
            <w:tcW w:w="685" w:type="dxa"/>
            <w:tcBorders>
              <w:top w:val="single" w:sz="4" w:space="0" w:color="auto"/>
              <w:left w:val="single" w:sz="4" w:space="0" w:color="auto"/>
              <w:bottom w:val="single" w:sz="8" w:space="0" w:color="auto"/>
              <w:right w:val="nil"/>
            </w:tcBorders>
            <w:shd w:val="clear" w:color="auto" w:fill="auto"/>
            <w:noWrap/>
            <w:vAlign w:val="bottom"/>
            <w:hideMark/>
          </w:tcPr>
          <w:p w14:paraId="3CA4F008" w14:textId="00EB13C5" w:rsidR="00FA6648" w:rsidRPr="00C5560D" w:rsidRDefault="00FA6648" w:rsidP="00C40FD9">
            <w:pPr>
              <w:jc w:val="right"/>
              <w:rPr>
                <w:rFonts w:ascii="Arial" w:hAnsi="Arial" w:cs="Arial"/>
                <w:color w:val="000000" w:themeColor="text1"/>
                <w:sz w:val="16"/>
                <w:szCs w:val="16"/>
              </w:rPr>
            </w:pPr>
            <w:r w:rsidRPr="00C5560D">
              <w:rPr>
                <w:rFonts w:ascii="Arial" w:hAnsi="Arial" w:cs="Arial"/>
                <w:color w:val="000000" w:themeColor="text1"/>
                <w:sz w:val="16"/>
                <w:szCs w:val="16"/>
              </w:rPr>
              <w:t>2</w:t>
            </w:r>
            <w:r w:rsidR="00C40FD9">
              <w:rPr>
                <w:rFonts w:ascii="Arial" w:hAnsi="Arial" w:cs="Arial"/>
                <w:color w:val="000000" w:themeColor="text1"/>
                <w:sz w:val="16"/>
                <w:szCs w:val="16"/>
              </w:rPr>
              <w:t>4</w:t>
            </w:r>
            <w:r w:rsidRPr="00C5560D">
              <w:rPr>
                <w:rFonts w:ascii="Arial" w:hAnsi="Arial" w:cs="Arial"/>
                <w:color w:val="000000" w:themeColor="text1"/>
                <w:sz w:val="16"/>
                <w:szCs w:val="16"/>
              </w:rPr>
              <w:t>%</w:t>
            </w:r>
          </w:p>
        </w:tc>
        <w:tc>
          <w:tcPr>
            <w:tcW w:w="1094" w:type="dxa"/>
            <w:tcBorders>
              <w:top w:val="single" w:sz="4" w:space="0" w:color="auto"/>
              <w:left w:val="nil"/>
              <w:bottom w:val="single" w:sz="8" w:space="0" w:color="auto"/>
              <w:right w:val="single" w:sz="4" w:space="0" w:color="auto"/>
            </w:tcBorders>
            <w:shd w:val="clear" w:color="auto" w:fill="auto"/>
            <w:noWrap/>
            <w:vAlign w:val="bottom"/>
            <w:hideMark/>
          </w:tcPr>
          <w:p w14:paraId="1E994331" w14:textId="2697CE16" w:rsidR="00FA6648" w:rsidRPr="00C5560D" w:rsidRDefault="00FA6648" w:rsidP="00C40FD9">
            <w:pPr>
              <w:jc w:val="right"/>
              <w:rPr>
                <w:rFonts w:ascii="Arial" w:hAnsi="Arial" w:cs="Arial"/>
                <w:b/>
                <w:bCs/>
                <w:color w:val="000000" w:themeColor="text1"/>
                <w:sz w:val="16"/>
                <w:szCs w:val="16"/>
              </w:rPr>
            </w:pPr>
            <w:r w:rsidRPr="00C5560D">
              <w:rPr>
                <w:rFonts w:ascii="Arial" w:hAnsi="Arial" w:cs="Arial"/>
                <w:b/>
                <w:bCs/>
                <w:color w:val="000000" w:themeColor="text1"/>
                <w:sz w:val="16"/>
                <w:szCs w:val="16"/>
              </w:rPr>
              <w:t>$</w:t>
            </w:r>
            <w:r w:rsidR="00C40FD9">
              <w:rPr>
                <w:rFonts w:ascii="Arial" w:hAnsi="Arial" w:cs="Arial"/>
                <w:b/>
                <w:bCs/>
                <w:color w:val="000000" w:themeColor="text1"/>
                <w:sz w:val="16"/>
                <w:szCs w:val="16"/>
              </w:rPr>
              <w:t>3</w:t>
            </w:r>
            <w:r w:rsidRPr="00C5560D">
              <w:rPr>
                <w:rFonts w:ascii="Arial" w:hAnsi="Arial" w:cs="Arial"/>
                <w:b/>
                <w:bCs/>
                <w:color w:val="000000" w:themeColor="text1"/>
                <w:sz w:val="16"/>
                <w:szCs w:val="16"/>
              </w:rPr>
              <w:t>,</w:t>
            </w:r>
            <w:r w:rsidR="00C40FD9">
              <w:rPr>
                <w:rFonts w:ascii="Arial" w:hAnsi="Arial" w:cs="Arial"/>
                <w:b/>
                <w:bCs/>
                <w:color w:val="000000" w:themeColor="text1"/>
                <w:sz w:val="16"/>
                <w:szCs w:val="16"/>
              </w:rPr>
              <w:t>0</w:t>
            </w:r>
            <w:r w:rsidRPr="00C5560D">
              <w:rPr>
                <w:rFonts w:ascii="Arial" w:hAnsi="Arial" w:cs="Arial"/>
                <w:b/>
                <w:bCs/>
                <w:color w:val="000000" w:themeColor="text1"/>
                <w:sz w:val="16"/>
                <w:szCs w:val="16"/>
              </w:rPr>
              <w:t>9</w:t>
            </w:r>
            <w:r w:rsidR="00C40FD9">
              <w:rPr>
                <w:rFonts w:ascii="Arial" w:hAnsi="Arial" w:cs="Arial"/>
                <w:b/>
                <w:bCs/>
                <w:color w:val="000000" w:themeColor="text1"/>
                <w:sz w:val="16"/>
                <w:szCs w:val="16"/>
              </w:rPr>
              <w:t>0</w:t>
            </w:r>
            <w:r w:rsidRPr="00C5560D">
              <w:rPr>
                <w:rFonts w:ascii="Arial" w:hAnsi="Arial" w:cs="Arial"/>
                <w:b/>
                <w:bCs/>
                <w:color w:val="000000" w:themeColor="text1"/>
                <w:sz w:val="16"/>
                <w:szCs w:val="16"/>
              </w:rPr>
              <w:t>,</w:t>
            </w:r>
            <w:r w:rsidR="00C40FD9">
              <w:rPr>
                <w:rFonts w:ascii="Arial" w:hAnsi="Arial" w:cs="Arial"/>
                <w:b/>
                <w:bCs/>
                <w:color w:val="000000" w:themeColor="text1"/>
                <w:sz w:val="16"/>
                <w:szCs w:val="16"/>
              </w:rPr>
              <w:t>735</w:t>
            </w:r>
          </w:p>
        </w:tc>
      </w:tr>
      <w:tr w:rsidR="00FA6648" w:rsidRPr="00C5560D" w14:paraId="2EAD9611" w14:textId="77777777" w:rsidTr="005D582C">
        <w:trPr>
          <w:trHeight w:val="315"/>
        </w:trPr>
        <w:tc>
          <w:tcPr>
            <w:tcW w:w="4860" w:type="dxa"/>
            <w:tcBorders>
              <w:top w:val="nil"/>
              <w:left w:val="nil"/>
              <w:bottom w:val="nil"/>
              <w:right w:val="nil"/>
            </w:tcBorders>
            <w:shd w:val="clear" w:color="auto" w:fill="auto"/>
            <w:noWrap/>
            <w:vAlign w:val="bottom"/>
            <w:hideMark/>
          </w:tcPr>
          <w:p w14:paraId="1726D470" w14:textId="7A44E54B" w:rsidR="00FA6648" w:rsidRPr="00C5560D" w:rsidRDefault="00FA6648" w:rsidP="00DE6E66">
            <w:pPr>
              <w:rPr>
                <w:rFonts w:ascii="Arial" w:hAnsi="Arial" w:cs="Arial"/>
                <w:color w:val="000000" w:themeColor="text1"/>
                <w:sz w:val="16"/>
                <w:szCs w:val="16"/>
              </w:rPr>
            </w:pPr>
            <w:r w:rsidRPr="00C5560D">
              <w:rPr>
                <w:rFonts w:ascii="Arial" w:hAnsi="Arial" w:cs="Arial"/>
                <w:color w:val="000000" w:themeColor="text1"/>
                <w:sz w:val="16"/>
                <w:szCs w:val="16"/>
              </w:rPr>
              <w:t>Source: City of Carlton W</w:t>
            </w:r>
            <w:r w:rsidR="00D85985">
              <w:rPr>
                <w:rFonts w:ascii="Arial" w:hAnsi="Arial" w:cs="Arial"/>
                <w:color w:val="000000" w:themeColor="text1"/>
                <w:sz w:val="16"/>
                <w:szCs w:val="16"/>
              </w:rPr>
              <w:t>astewater Facilities Plan (2018)</w:t>
            </w:r>
          </w:p>
        </w:tc>
        <w:tc>
          <w:tcPr>
            <w:tcW w:w="981" w:type="dxa"/>
            <w:tcBorders>
              <w:top w:val="nil"/>
              <w:left w:val="nil"/>
              <w:bottom w:val="nil"/>
              <w:right w:val="nil"/>
            </w:tcBorders>
            <w:shd w:val="clear" w:color="auto" w:fill="auto"/>
            <w:noWrap/>
            <w:vAlign w:val="bottom"/>
            <w:hideMark/>
          </w:tcPr>
          <w:p w14:paraId="47B094D8" w14:textId="77777777" w:rsidR="00FA6648" w:rsidRPr="00C5560D" w:rsidRDefault="00FA6648" w:rsidP="00DE6E66">
            <w:pPr>
              <w:rPr>
                <w:rFonts w:ascii="Arial" w:hAnsi="Arial" w:cs="Arial"/>
                <w:color w:val="000000" w:themeColor="text1"/>
                <w:sz w:val="16"/>
                <w:szCs w:val="16"/>
              </w:rPr>
            </w:pPr>
          </w:p>
        </w:tc>
        <w:tc>
          <w:tcPr>
            <w:tcW w:w="1188" w:type="dxa"/>
            <w:tcBorders>
              <w:top w:val="nil"/>
              <w:left w:val="nil"/>
              <w:bottom w:val="nil"/>
              <w:right w:val="nil"/>
            </w:tcBorders>
            <w:shd w:val="clear" w:color="auto" w:fill="auto"/>
            <w:noWrap/>
            <w:vAlign w:val="bottom"/>
            <w:hideMark/>
          </w:tcPr>
          <w:p w14:paraId="434859AC" w14:textId="77777777" w:rsidR="00FA6648" w:rsidRPr="00C5560D" w:rsidRDefault="00FA6648" w:rsidP="00DE6E66">
            <w:pPr>
              <w:rPr>
                <w:rFonts w:ascii="Times New Roman" w:hAnsi="Times New Roman"/>
                <w:color w:val="000000" w:themeColor="text1"/>
                <w:sz w:val="16"/>
                <w:szCs w:val="16"/>
              </w:rPr>
            </w:pPr>
          </w:p>
        </w:tc>
        <w:tc>
          <w:tcPr>
            <w:tcW w:w="685" w:type="dxa"/>
            <w:tcBorders>
              <w:top w:val="nil"/>
              <w:left w:val="nil"/>
              <w:bottom w:val="nil"/>
              <w:right w:val="nil"/>
            </w:tcBorders>
            <w:shd w:val="clear" w:color="auto" w:fill="auto"/>
            <w:noWrap/>
            <w:vAlign w:val="bottom"/>
            <w:hideMark/>
          </w:tcPr>
          <w:p w14:paraId="49A50462" w14:textId="77777777" w:rsidR="00FA6648" w:rsidRPr="00C5560D" w:rsidRDefault="00FA6648" w:rsidP="00DE6E66">
            <w:pPr>
              <w:rPr>
                <w:rFonts w:ascii="Times New Roman" w:hAnsi="Times New Roman"/>
                <w:color w:val="000000" w:themeColor="text1"/>
                <w:sz w:val="16"/>
                <w:szCs w:val="16"/>
              </w:rPr>
            </w:pPr>
          </w:p>
        </w:tc>
        <w:tc>
          <w:tcPr>
            <w:tcW w:w="1094" w:type="dxa"/>
            <w:tcBorders>
              <w:top w:val="nil"/>
              <w:left w:val="nil"/>
              <w:bottom w:val="nil"/>
              <w:right w:val="nil"/>
            </w:tcBorders>
            <w:shd w:val="clear" w:color="auto" w:fill="auto"/>
            <w:noWrap/>
            <w:vAlign w:val="bottom"/>
            <w:hideMark/>
          </w:tcPr>
          <w:p w14:paraId="5AA608D4" w14:textId="77777777" w:rsidR="00FA6648" w:rsidRPr="00C5560D" w:rsidRDefault="00FA6648" w:rsidP="00DE6E66">
            <w:pPr>
              <w:rPr>
                <w:rFonts w:ascii="Times New Roman" w:hAnsi="Times New Roman"/>
                <w:color w:val="000000" w:themeColor="text1"/>
                <w:sz w:val="16"/>
                <w:szCs w:val="16"/>
              </w:rPr>
            </w:pPr>
          </w:p>
        </w:tc>
      </w:tr>
    </w:tbl>
    <w:p w14:paraId="7DDE48FC" w14:textId="713F189D" w:rsidR="005D582C" w:rsidRDefault="005D582C" w:rsidP="00344887">
      <w:pPr>
        <w:pStyle w:val="BodyText"/>
        <w:spacing w:before="240"/>
      </w:pPr>
      <w:r>
        <w:t>As shown in Table 3, the total improvement fee cost basis is $</w:t>
      </w:r>
      <w:r w:rsidR="00FF0350">
        <w:t>3</w:t>
      </w:r>
      <w:r>
        <w:t>.</w:t>
      </w:r>
      <w:r w:rsidR="00FF0350">
        <w:t>1</w:t>
      </w:r>
      <w:r>
        <w:t xml:space="preserve"> million.</w:t>
      </w:r>
    </w:p>
    <w:p w14:paraId="2EE6E99C" w14:textId="53A2E35B" w:rsidR="007F0624" w:rsidRPr="00105BF6" w:rsidRDefault="005D582C" w:rsidP="005D582C">
      <w:pPr>
        <w:pStyle w:val="BodyText"/>
        <w:rPr>
          <w:b/>
          <w:sz w:val="28"/>
          <w:szCs w:val="28"/>
        </w:rPr>
      </w:pPr>
      <w:r>
        <w:rPr>
          <w:b/>
          <w:sz w:val="28"/>
          <w:szCs w:val="28"/>
        </w:rPr>
        <w:t>Compliance Costs</w:t>
      </w:r>
    </w:p>
    <w:p w14:paraId="6B9CBF24" w14:textId="0A481412" w:rsidR="007F0624" w:rsidRDefault="007F0624" w:rsidP="007F0624">
      <w:pPr>
        <w:pStyle w:val="BodyText"/>
        <w:jc w:val="both"/>
      </w:pPr>
      <w:r w:rsidRPr="00105BF6">
        <w:t xml:space="preserve">Local governments are entitled to </w:t>
      </w:r>
      <w:r w:rsidR="005D582C">
        <w:t xml:space="preserve">spend </w:t>
      </w:r>
      <w:r w:rsidRPr="00105BF6">
        <w:t>SDCs</w:t>
      </w:r>
      <w:r w:rsidR="005D582C">
        <w:t xml:space="preserve"> on </w:t>
      </w:r>
      <w:r w:rsidRPr="00105BF6">
        <w:t>costs associa</w:t>
      </w:r>
      <w:r w:rsidR="005D582C">
        <w:t>ted with complying with SDC statutory provisions</w:t>
      </w:r>
      <w:r w:rsidRPr="00105BF6">
        <w:t xml:space="preserve">.  Compliance costs include costs related to developing the SDC methodology and project list (i.e., a portion of facility planning costs), and annual accounting </w:t>
      </w:r>
      <w:r w:rsidRPr="00105BF6">
        <w:lastRenderedPageBreak/>
        <w:t xml:space="preserve">costs.   Table </w:t>
      </w:r>
      <w:r w:rsidR="005D582C">
        <w:t>4</w:t>
      </w:r>
      <w:r w:rsidRPr="00105BF6">
        <w:t xml:space="preserve"> shows the calculation of the compliance charge per EDU, which is estimated to be $</w:t>
      </w:r>
      <w:r>
        <w:t>280</w:t>
      </w:r>
      <w:r w:rsidRPr="00105BF6">
        <w:t>.</w:t>
      </w:r>
    </w:p>
    <w:tbl>
      <w:tblPr>
        <w:tblW w:w="7116" w:type="dxa"/>
        <w:tblLook w:val="04A0" w:firstRow="1" w:lastRow="0" w:firstColumn="1" w:lastColumn="0" w:noHBand="0" w:noVBand="1"/>
      </w:tblPr>
      <w:tblGrid>
        <w:gridCol w:w="1216"/>
        <w:gridCol w:w="1116"/>
        <w:gridCol w:w="1116"/>
        <w:gridCol w:w="1276"/>
        <w:gridCol w:w="1116"/>
        <w:gridCol w:w="1276"/>
      </w:tblGrid>
      <w:tr w:rsidR="007F0624" w:rsidRPr="00595516" w14:paraId="2BA0D85E" w14:textId="77777777" w:rsidTr="005D582C">
        <w:trPr>
          <w:trHeight w:val="240"/>
        </w:trPr>
        <w:tc>
          <w:tcPr>
            <w:tcW w:w="1216" w:type="dxa"/>
            <w:tcBorders>
              <w:top w:val="nil"/>
              <w:left w:val="nil"/>
              <w:bottom w:val="nil"/>
              <w:right w:val="nil"/>
            </w:tcBorders>
            <w:shd w:val="clear" w:color="auto" w:fill="auto"/>
            <w:noWrap/>
            <w:vAlign w:val="bottom"/>
            <w:hideMark/>
          </w:tcPr>
          <w:p w14:paraId="5FEE111C" w14:textId="3DFC5219" w:rsidR="007F0624" w:rsidRPr="00595516" w:rsidRDefault="005D582C" w:rsidP="00344887">
            <w:pPr>
              <w:spacing w:before="240"/>
              <w:rPr>
                <w:rFonts w:ascii="Arial" w:hAnsi="Arial" w:cs="Arial"/>
                <w:b/>
                <w:bCs/>
                <w:sz w:val="18"/>
                <w:szCs w:val="18"/>
              </w:rPr>
            </w:pPr>
            <w:r>
              <w:rPr>
                <w:rFonts w:ascii="Arial" w:hAnsi="Arial" w:cs="Arial"/>
                <w:b/>
                <w:bCs/>
                <w:sz w:val="18"/>
                <w:szCs w:val="18"/>
              </w:rPr>
              <w:t>Table 4</w:t>
            </w:r>
          </w:p>
        </w:tc>
        <w:tc>
          <w:tcPr>
            <w:tcW w:w="1116" w:type="dxa"/>
            <w:tcBorders>
              <w:top w:val="nil"/>
              <w:left w:val="nil"/>
              <w:bottom w:val="nil"/>
              <w:right w:val="nil"/>
            </w:tcBorders>
            <w:shd w:val="clear" w:color="auto" w:fill="auto"/>
            <w:noWrap/>
            <w:vAlign w:val="bottom"/>
            <w:hideMark/>
          </w:tcPr>
          <w:p w14:paraId="4B135961" w14:textId="77777777" w:rsidR="007F0624" w:rsidRPr="00595516" w:rsidRDefault="007F0624" w:rsidP="00DE6E66">
            <w:pPr>
              <w:rPr>
                <w:rFonts w:ascii="Arial" w:hAnsi="Arial" w:cs="Arial"/>
                <w:b/>
                <w:bCs/>
                <w:sz w:val="18"/>
                <w:szCs w:val="18"/>
              </w:rPr>
            </w:pPr>
          </w:p>
        </w:tc>
        <w:tc>
          <w:tcPr>
            <w:tcW w:w="1116" w:type="dxa"/>
            <w:tcBorders>
              <w:top w:val="nil"/>
              <w:left w:val="nil"/>
              <w:bottom w:val="nil"/>
              <w:right w:val="nil"/>
            </w:tcBorders>
            <w:shd w:val="clear" w:color="auto" w:fill="auto"/>
            <w:noWrap/>
            <w:vAlign w:val="bottom"/>
            <w:hideMark/>
          </w:tcPr>
          <w:p w14:paraId="4058C1E5" w14:textId="77777777" w:rsidR="007F0624" w:rsidRPr="00595516" w:rsidRDefault="007F0624" w:rsidP="00DE6E66">
            <w:pP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14:paraId="281337FF" w14:textId="77777777" w:rsidR="007F0624" w:rsidRPr="00595516" w:rsidRDefault="007F0624" w:rsidP="00DE6E66">
            <w:pPr>
              <w:rPr>
                <w:rFonts w:ascii="Times New Roman" w:hAnsi="Times New Roman"/>
                <w:sz w:val="20"/>
              </w:rPr>
            </w:pPr>
          </w:p>
        </w:tc>
        <w:tc>
          <w:tcPr>
            <w:tcW w:w="1116" w:type="dxa"/>
            <w:tcBorders>
              <w:top w:val="nil"/>
              <w:left w:val="nil"/>
              <w:bottom w:val="nil"/>
              <w:right w:val="nil"/>
            </w:tcBorders>
            <w:shd w:val="clear" w:color="auto" w:fill="auto"/>
            <w:noWrap/>
            <w:vAlign w:val="bottom"/>
            <w:hideMark/>
          </w:tcPr>
          <w:p w14:paraId="04580842" w14:textId="77777777" w:rsidR="007F0624" w:rsidRPr="00595516" w:rsidRDefault="007F0624" w:rsidP="00DE6E66">
            <w:pP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14:paraId="40417E8E" w14:textId="77777777" w:rsidR="007F0624" w:rsidRPr="00595516" w:rsidRDefault="007F0624" w:rsidP="00DE6E66">
            <w:pPr>
              <w:rPr>
                <w:rFonts w:ascii="Times New Roman" w:hAnsi="Times New Roman"/>
                <w:sz w:val="20"/>
              </w:rPr>
            </w:pPr>
          </w:p>
        </w:tc>
      </w:tr>
      <w:tr w:rsidR="007F0624" w:rsidRPr="00595516" w14:paraId="09B5CB50" w14:textId="77777777" w:rsidTr="005D582C">
        <w:trPr>
          <w:trHeight w:val="240"/>
        </w:trPr>
        <w:tc>
          <w:tcPr>
            <w:tcW w:w="2332" w:type="dxa"/>
            <w:gridSpan w:val="2"/>
            <w:tcBorders>
              <w:top w:val="nil"/>
              <w:left w:val="nil"/>
              <w:bottom w:val="nil"/>
              <w:right w:val="nil"/>
            </w:tcBorders>
            <w:shd w:val="clear" w:color="auto" w:fill="auto"/>
            <w:noWrap/>
            <w:vAlign w:val="bottom"/>
            <w:hideMark/>
          </w:tcPr>
          <w:p w14:paraId="0C11B8B9" w14:textId="77777777" w:rsidR="007F0624" w:rsidRPr="00595516" w:rsidRDefault="007F0624" w:rsidP="00DE6E66">
            <w:pPr>
              <w:rPr>
                <w:rFonts w:ascii="Arial" w:hAnsi="Arial" w:cs="Arial"/>
                <w:i/>
                <w:iCs/>
                <w:sz w:val="18"/>
                <w:szCs w:val="18"/>
              </w:rPr>
            </w:pPr>
            <w:r w:rsidRPr="00595516">
              <w:rPr>
                <w:rFonts w:ascii="Arial" w:hAnsi="Arial" w:cs="Arial"/>
                <w:i/>
                <w:iCs/>
                <w:sz w:val="18"/>
                <w:szCs w:val="18"/>
              </w:rPr>
              <w:t>Compliance Charge</w:t>
            </w:r>
          </w:p>
        </w:tc>
        <w:tc>
          <w:tcPr>
            <w:tcW w:w="1116" w:type="dxa"/>
            <w:tcBorders>
              <w:top w:val="nil"/>
              <w:left w:val="nil"/>
              <w:bottom w:val="nil"/>
              <w:right w:val="nil"/>
            </w:tcBorders>
            <w:shd w:val="clear" w:color="auto" w:fill="auto"/>
            <w:noWrap/>
            <w:vAlign w:val="bottom"/>
            <w:hideMark/>
          </w:tcPr>
          <w:p w14:paraId="1EE852D9" w14:textId="77777777" w:rsidR="007F0624" w:rsidRPr="00595516" w:rsidRDefault="007F0624" w:rsidP="00DE6E66">
            <w:pPr>
              <w:rPr>
                <w:rFonts w:ascii="Arial" w:hAnsi="Arial" w:cs="Arial"/>
                <w:i/>
                <w:iCs/>
                <w:sz w:val="18"/>
                <w:szCs w:val="18"/>
              </w:rPr>
            </w:pPr>
          </w:p>
        </w:tc>
        <w:tc>
          <w:tcPr>
            <w:tcW w:w="1276" w:type="dxa"/>
            <w:tcBorders>
              <w:top w:val="nil"/>
              <w:left w:val="nil"/>
              <w:bottom w:val="nil"/>
              <w:right w:val="nil"/>
            </w:tcBorders>
            <w:shd w:val="clear" w:color="auto" w:fill="auto"/>
            <w:noWrap/>
            <w:vAlign w:val="bottom"/>
            <w:hideMark/>
          </w:tcPr>
          <w:p w14:paraId="51BF06CD" w14:textId="77777777" w:rsidR="007F0624" w:rsidRPr="00595516" w:rsidRDefault="007F0624" w:rsidP="00DE6E66">
            <w:pPr>
              <w:rPr>
                <w:rFonts w:ascii="Times New Roman" w:hAnsi="Times New Roman"/>
                <w:sz w:val="20"/>
              </w:rPr>
            </w:pPr>
          </w:p>
        </w:tc>
        <w:tc>
          <w:tcPr>
            <w:tcW w:w="1116" w:type="dxa"/>
            <w:tcBorders>
              <w:top w:val="nil"/>
              <w:left w:val="nil"/>
              <w:bottom w:val="nil"/>
              <w:right w:val="nil"/>
            </w:tcBorders>
            <w:shd w:val="clear" w:color="auto" w:fill="auto"/>
            <w:noWrap/>
            <w:vAlign w:val="bottom"/>
            <w:hideMark/>
          </w:tcPr>
          <w:p w14:paraId="2874DA9D" w14:textId="77777777" w:rsidR="007F0624" w:rsidRPr="00595516" w:rsidRDefault="007F0624" w:rsidP="00DE6E66">
            <w:pP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14:paraId="25F38158" w14:textId="77777777" w:rsidR="007F0624" w:rsidRPr="00595516" w:rsidRDefault="007F0624" w:rsidP="00DE6E66">
            <w:pPr>
              <w:rPr>
                <w:rFonts w:ascii="Times New Roman" w:hAnsi="Times New Roman"/>
                <w:sz w:val="20"/>
              </w:rPr>
            </w:pPr>
          </w:p>
        </w:tc>
      </w:tr>
      <w:tr w:rsidR="007F0624" w:rsidRPr="00595516" w14:paraId="3B1D169C" w14:textId="77777777" w:rsidTr="005D582C">
        <w:trPr>
          <w:trHeight w:val="240"/>
        </w:trPr>
        <w:tc>
          <w:tcPr>
            <w:tcW w:w="1216" w:type="dxa"/>
            <w:tcBorders>
              <w:top w:val="single" w:sz="4" w:space="0" w:color="auto"/>
              <w:left w:val="nil"/>
              <w:bottom w:val="nil"/>
              <w:right w:val="nil"/>
            </w:tcBorders>
            <w:shd w:val="clear" w:color="auto" w:fill="auto"/>
            <w:noWrap/>
            <w:vAlign w:val="bottom"/>
            <w:hideMark/>
          </w:tcPr>
          <w:p w14:paraId="1E457456" w14:textId="77777777" w:rsidR="007F0624" w:rsidRPr="00595516" w:rsidRDefault="007F0624" w:rsidP="00DE6E66">
            <w:pPr>
              <w:rPr>
                <w:rFonts w:ascii="Arial" w:hAnsi="Arial" w:cs="Arial"/>
                <w:b/>
                <w:bCs/>
                <w:sz w:val="18"/>
                <w:szCs w:val="18"/>
              </w:rPr>
            </w:pPr>
            <w:r w:rsidRPr="00595516">
              <w:rPr>
                <w:rFonts w:ascii="Arial" w:hAnsi="Arial" w:cs="Arial"/>
                <w:b/>
                <w:bCs/>
                <w:sz w:val="18"/>
                <w:szCs w:val="18"/>
              </w:rPr>
              <w:t> </w:t>
            </w:r>
          </w:p>
        </w:tc>
        <w:tc>
          <w:tcPr>
            <w:tcW w:w="1116" w:type="dxa"/>
            <w:tcBorders>
              <w:top w:val="single" w:sz="4" w:space="0" w:color="auto"/>
              <w:left w:val="nil"/>
              <w:bottom w:val="nil"/>
              <w:right w:val="nil"/>
            </w:tcBorders>
            <w:shd w:val="clear" w:color="auto" w:fill="auto"/>
            <w:noWrap/>
            <w:vAlign w:val="bottom"/>
            <w:hideMark/>
          </w:tcPr>
          <w:p w14:paraId="698CCA87" w14:textId="77777777" w:rsidR="007F0624" w:rsidRPr="00595516" w:rsidRDefault="007F0624" w:rsidP="00DE6E66">
            <w:pPr>
              <w:rPr>
                <w:rFonts w:ascii="Arial" w:hAnsi="Arial" w:cs="Arial"/>
                <w:b/>
                <w:bCs/>
                <w:sz w:val="18"/>
                <w:szCs w:val="18"/>
              </w:rPr>
            </w:pPr>
            <w:r w:rsidRPr="00595516">
              <w:rPr>
                <w:rFonts w:ascii="Arial" w:hAnsi="Arial" w:cs="Arial"/>
                <w:b/>
                <w:bCs/>
                <w:sz w:val="18"/>
                <w:szCs w:val="18"/>
              </w:rPr>
              <w:t> </w:t>
            </w:r>
          </w:p>
        </w:tc>
        <w:tc>
          <w:tcPr>
            <w:tcW w:w="1116" w:type="dxa"/>
            <w:tcBorders>
              <w:top w:val="single" w:sz="4" w:space="0" w:color="auto"/>
              <w:left w:val="nil"/>
              <w:bottom w:val="nil"/>
              <w:right w:val="nil"/>
            </w:tcBorders>
            <w:shd w:val="clear" w:color="auto" w:fill="auto"/>
            <w:noWrap/>
            <w:vAlign w:val="bottom"/>
            <w:hideMark/>
          </w:tcPr>
          <w:p w14:paraId="59427B3A" w14:textId="77777777" w:rsidR="007F0624" w:rsidRPr="00595516" w:rsidRDefault="007F0624" w:rsidP="00DE6E66">
            <w:pPr>
              <w:jc w:val="center"/>
              <w:rPr>
                <w:rFonts w:ascii="Arial" w:hAnsi="Arial" w:cs="Arial"/>
                <w:b/>
                <w:bCs/>
                <w:sz w:val="18"/>
                <w:szCs w:val="18"/>
              </w:rPr>
            </w:pPr>
            <w:r w:rsidRPr="00595516">
              <w:rPr>
                <w:rFonts w:ascii="Arial" w:hAnsi="Arial" w:cs="Arial"/>
                <w:b/>
                <w:bCs/>
                <w:sz w:val="18"/>
                <w:szCs w:val="18"/>
              </w:rPr>
              <w:t> </w:t>
            </w:r>
          </w:p>
        </w:tc>
        <w:tc>
          <w:tcPr>
            <w:tcW w:w="1276" w:type="dxa"/>
            <w:tcBorders>
              <w:top w:val="single" w:sz="4" w:space="0" w:color="auto"/>
              <w:left w:val="nil"/>
              <w:bottom w:val="nil"/>
              <w:right w:val="nil"/>
            </w:tcBorders>
            <w:shd w:val="clear" w:color="auto" w:fill="auto"/>
            <w:noWrap/>
            <w:vAlign w:val="bottom"/>
            <w:hideMark/>
          </w:tcPr>
          <w:p w14:paraId="667E4645" w14:textId="77777777" w:rsidR="007F0624" w:rsidRPr="00595516" w:rsidRDefault="007F0624" w:rsidP="00DE6E66">
            <w:pPr>
              <w:jc w:val="center"/>
              <w:rPr>
                <w:rFonts w:ascii="Arial" w:hAnsi="Arial" w:cs="Arial"/>
                <w:b/>
                <w:bCs/>
                <w:sz w:val="18"/>
                <w:szCs w:val="18"/>
              </w:rPr>
            </w:pPr>
            <w:r w:rsidRPr="00595516">
              <w:rPr>
                <w:rFonts w:ascii="Arial" w:hAnsi="Arial" w:cs="Arial"/>
                <w:b/>
                <w:bCs/>
                <w:sz w:val="18"/>
                <w:szCs w:val="18"/>
              </w:rPr>
              <w:t>Total</w:t>
            </w:r>
          </w:p>
        </w:tc>
        <w:tc>
          <w:tcPr>
            <w:tcW w:w="1116" w:type="dxa"/>
            <w:tcBorders>
              <w:top w:val="single" w:sz="4" w:space="0" w:color="auto"/>
              <w:left w:val="nil"/>
              <w:bottom w:val="nil"/>
              <w:right w:val="nil"/>
            </w:tcBorders>
            <w:shd w:val="clear" w:color="auto" w:fill="auto"/>
            <w:noWrap/>
            <w:vAlign w:val="bottom"/>
            <w:hideMark/>
          </w:tcPr>
          <w:p w14:paraId="155ABBFB" w14:textId="77777777" w:rsidR="007F0624" w:rsidRPr="00595516" w:rsidRDefault="007F0624" w:rsidP="00DE6E66">
            <w:pPr>
              <w:jc w:val="center"/>
              <w:rPr>
                <w:rFonts w:ascii="Arial" w:hAnsi="Arial" w:cs="Arial"/>
                <w:b/>
                <w:bCs/>
                <w:sz w:val="18"/>
                <w:szCs w:val="18"/>
              </w:rPr>
            </w:pPr>
            <w:r w:rsidRPr="00595516">
              <w:rPr>
                <w:rFonts w:ascii="Arial" w:hAnsi="Arial" w:cs="Arial"/>
                <w:b/>
                <w:bCs/>
                <w:sz w:val="18"/>
                <w:szCs w:val="18"/>
              </w:rPr>
              <w:t>Growth</w:t>
            </w:r>
          </w:p>
        </w:tc>
        <w:tc>
          <w:tcPr>
            <w:tcW w:w="1276" w:type="dxa"/>
            <w:tcBorders>
              <w:top w:val="single" w:sz="4" w:space="0" w:color="auto"/>
              <w:left w:val="nil"/>
              <w:bottom w:val="nil"/>
              <w:right w:val="nil"/>
            </w:tcBorders>
            <w:shd w:val="clear" w:color="auto" w:fill="auto"/>
            <w:noWrap/>
            <w:vAlign w:val="bottom"/>
            <w:hideMark/>
          </w:tcPr>
          <w:p w14:paraId="54EA49C6" w14:textId="3165B7C2" w:rsidR="007F0624" w:rsidRPr="00595516" w:rsidRDefault="00FF0350" w:rsidP="00DE6E66">
            <w:pPr>
              <w:jc w:val="center"/>
              <w:rPr>
                <w:rFonts w:ascii="Arial" w:hAnsi="Arial" w:cs="Arial"/>
                <w:b/>
                <w:bCs/>
                <w:sz w:val="18"/>
                <w:szCs w:val="18"/>
              </w:rPr>
            </w:pPr>
            <w:r>
              <w:rPr>
                <w:rFonts w:ascii="Arial" w:hAnsi="Arial" w:cs="Arial"/>
                <w:b/>
                <w:bCs/>
                <w:sz w:val="18"/>
                <w:szCs w:val="18"/>
              </w:rPr>
              <w:t>Growth</w:t>
            </w:r>
          </w:p>
        </w:tc>
      </w:tr>
      <w:tr w:rsidR="007F0624" w:rsidRPr="00595516" w14:paraId="6CD1947D" w14:textId="77777777" w:rsidTr="005D582C">
        <w:trPr>
          <w:trHeight w:val="260"/>
        </w:trPr>
        <w:tc>
          <w:tcPr>
            <w:tcW w:w="1216" w:type="dxa"/>
            <w:tcBorders>
              <w:top w:val="nil"/>
              <w:left w:val="nil"/>
              <w:bottom w:val="single" w:sz="8" w:space="0" w:color="auto"/>
              <w:right w:val="nil"/>
            </w:tcBorders>
            <w:shd w:val="clear" w:color="auto" w:fill="auto"/>
            <w:noWrap/>
            <w:vAlign w:val="bottom"/>
            <w:hideMark/>
          </w:tcPr>
          <w:p w14:paraId="65F924CE" w14:textId="77777777" w:rsidR="007F0624" w:rsidRPr="00595516" w:rsidRDefault="007F0624" w:rsidP="00DE6E66">
            <w:pPr>
              <w:rPr>
                <w:rFonts w:ascii="Arial" w:hAnsi="Arial" w:cs="Arial"/>
                <w:b/>
                <w:bCs/>
                <w:sz w:val="18"/>
                <w:szCs w:val="18"/>
              </w:rPr>
            </w:pPr>
            <w:r w:rsidRPr="00595516">
              <w:rPr>
                <w:rFonts w:ascii="Arial" w:hAnsi="Arial" w:cs="Arial"/>
                <w:b/>
                <w:bCs/>
                <w:sz w:val="18"/>
                <w:szCs w:val="18"/>
              </w:rPr>
              <w:t>Component</w:t>
            </w:r>
          </w:p>
        </w:tc>
        <w:tc>
          <w:tcPr>
            <w:tcW w:w="1116" w:type="dxa"/>
            <w:tcBorders>
              <w:top w:val="nil"/>
              <w:left w:val="nil"/>
              <w:bottom w:val="single" w:sz="8" w:space="0" w:color="auto"/>
              <w:right w:val="nil"/>
            </w:tcBorders>
            <w:shd w:val="clear" w:color="auto" w:fill="auto"/>
            <w:noWrap/>
            <w:vAlign w:val="bottom"/>
            <w:hideMark/>
          </w:tcPr>
          <w:p w14:paraId="2205CD47" w14:textId="77777777" w:rsidR="007F0624" w:rsidRPr="00595516" w:rsidRDefault="007F0624" w:rsidP="00DE6E66">
            <w:pPr>
              <w:rPr>
                <w:rFonts w:ascii="Arial" w:hAnsi="Arial" w:cs="Arial"/>
                <w:sz w:val="18"/>
                <w:szCs w:val="18"/>
              </w:rPr>
            </w:pPr>
            <w:r w:rsidRPr="00595516">
              <w:rPr>
                <w:rFonts w:ascii="Arial" w:hAnsi="Arial" w:cs="Arial"/>
                <w:sz w:val="18"/>
                <w:szCs w:val="18"/>
              </w:rPr>
              <w:t> </w:t>
            </w:r>
          </w:p>
        </w:tc>
        <w:tc>
          <w:tcPr>
            <w:tcW w:w="1116" w:type="dxa"/>
            <w:tcBorders>
              <w:top w:val="nil"/>
              <w:left w:val="nil"/>
              <w:bottom w:val="single" w:sz="8" w:space="0" w:color="auto"/>
              <w:right w:val="nil"/>
            </w:tcBorders>
            <w:shd w:val="clear" w:color="auto" w:fill="auto"/>
            <w:noWrap/>
            <w:vAlign w:val="bottom"/>
            <w:hideMark/>
          </w:tcPr>
          <w:p w14:paraId="53A0D97C" w14:textId="77777777" w:rsidR="007F0624" w:rsidRPr="00595516" w:rsidRDefault="007F0624" w:rsidP="00DE6E66">
            <w:pPr>
              <w:jc w:val="center"/>
              <w:rPr>
                <w:rFonts w:ascii="Arial" w:hAnsi="Arial" w:cs="Arial"/>
                <w:b/>
                <w:bCs/>
                <w:sz w:val="18"/>
                <w:szCs w:val="18"/>
              </w:rPr>
            </w:pPr>
            <w:r w:rsidRPr="00595516">
              <w:rPr>
                <w:rFonts w:ascii="Arial" w:hAnsi="Arial" w:cs="Arial"/>
                <w:b/>
                <w:bCs/>
                <w:sz w:val="18"/>
                <w:szCs w:val="18"/>
              </w:rPr>
              <w:t> </w:t>
            </w:r>
          </w:p>
        </w:tc>
        <w:tc>
          <w:tcPr>
            <w:tcW w:w="1276" w:type="dxa"/>
            <w:tcBorders>
              <w:top w:val="nil"/>
              <w:left w:val="nil"/>
              <w:bottom w:val="single" w:sz="8" w:space="0" w:color="auto"/>
              <w:right w:val="nil"/>
            </w:tcBorders>
            <w:shd w:val="clear" w:color="auto" w:fill="auto"/>
            <w:noWrap/>
            <w:vAlign w:val="bottom"/>
            <w:hideMark/>
          </w:tcPr>
          <w:p w14:paraId="5CC448D4" w14:textId="77777777" w:rsidR="007F0624" w:rsidRPr="00595516" w:rsidRDefault="007F0624" w:rsidP="00DE6E66">
            <w:pPr>
              <w:jc w:val="center"/>
              <w:rPr>
                <w:rFonts w:ascii="Arial" w:hAnsi="Arial" w:cs="Arial"/>
                <w:b/>
                <w:bCs/>
                <w:sz w:val="18"/>
                <w:szCs w:val="18"/>
              </w:rPr>
            </w:pPr>
            <w:r w:rsidRPr="00595516">
              <w:rPr>
                <w:rFonts w:ascii="Arial" w:hAnsi="Arial" w:cs="Arial"/>
                <w:b/>
                <w:bCs/>
                <w:sz w:val="18"/>
                <w:szCs w:val="18"/>
              </w:rPr>
              <w:t>$</w:t>
            </w:r>
          </w:p>
        </w:tc>
        <w:tc>
          <w:tcPr>
            <w:tcW w:w="1116" w:type="dxa"/>
            <w:tcBorders>
              <w:top w:val="nil"/>
              <w:left w:val="nil"/>
              <w:bottom w:val="single" w:sz="8" w:space="0" w:color="auto"/>
              <w:right w:val="nil"/>
            </w:tcBorders>
            <w:shd w:val="clear" w:color="auto" w:fill="auto"/>
            <w:noWrap/>
            <w:vAlign w:val="bottom"/>
            <w:hideMark/>
          </w:tcPr>
          <w:p w14:paraId="712AE499" w14:textId="77777777" w:rsidR="007F0624" w:rsidRPr="00595516" w:rsidRDefault="007F0624" w:rsidP="00DE6E66">
            <w:pPr>
              <w:jc w:val="center"/>
              <w:rPr>
                <w:rFonts w:ascii="Arial" w:hAnsi="Arial" w:cs="Arial"/>
                <w:sz w:val="18"/>
                <w:szCs w:val="18"/>
              </w:rPr>
            </w:pPr>
            <w:r w:rsidRPr="00595516">
              <w:rPr>
                <w:rFonts w:ascii="Arial" w:hAnsi="Arial" w:cs="Arial"/>
                <w:sz w:val="18"/>
                <w:szCs w:val="18"/>
              </w:rPr>
              <w:t>%</w:t>
            </w:r>
          </w:p>
        </w:tc>
        <w:tc>
          <w:tcPr>
            <w:tcW w:w="1276" w:type="dxa"/>
            <w:tcBorders>
              <w:top w:val="nil"/>
              <w:left w:val="nil"/>
              <w:bottom w:val="single" w:sz="8" w:space="0" w:color="auto"/>
              <w:right w:val="nil"/>
            </w:tcBorders>
            <w:shd w:val="clear" w:color="auto" w:fill="auto"/>
            <w:noWrap/>
            <w:vAlign w:val="bottom"/>
            <w:hideMark/>
          </w:tcPr>
          <w:p w14:paraId="1590BDE4" w14:textId="77777777" w:rsidR="007F0624" w:rsidRPr="00595516" w:rsidRDefault="007F0624" w:rsidP="00DE6E66">
            <w:pPr>
              <w:jc w:val="center"/>
              <w:rPr>
                <w:rFonts w:ascii="Arial" w:hAnsi="Arial" w:cs="Arial"/>
                <w:sz w:val="18"/>
                <w:szCs w:val="18"/>
              </w:rPr>
            </w:pPr>
            <w:r w:rsidRPr="00595516">
              <w:rPr>
                <w:rFonts w:ascii="Arial" w:hAnsi="Arial" w:cs="Arial"/>
                <w:sz w:val="18"/>
                <w:szCs w:val="18"/>
              </w:rPr>
              <w:t>$</w:t>
            </w:r>
          </w:p>
        </w:tc>
      </w:tr>
      <w:tr w:rsidR="007F0624" w:rsidRPr="00595516" w14:paraId="4074C115" w14:textId="77777777" w:rsidTr="005D582C">
        <w:trPr>
          <w:trHeight w:val="240"/>
        </w:trPr>
        <w:tc>
          <w:tcPr>
            <w:tcW w:w="1216" w:type="dxa"/>
            <w:tcBorders>
              <w:top w:val="nil"/>
              <w:left w:val="nil"/>
              <w:bottom w:val="nil"/>
              <w:right w:val="nil"/>
            </w:tcBorders>
            <w:shd w:val="clear" w:color="auto" w:fill="auto"/>
            <w:noWrap/>
            <w:vAlign w:val="bottom"/>
            <w:hideMark/>
          </w:tcPr>
          <w:p w14:paraId="3F3A763F" w14:textId="77777777" w:rsidR="007F0624" w:rsidRPr="00595516" w:rsidRDefault="007F0624" w:rsidP="005D582C">
            <w:pPr>
              <w:rPr>
                <w:rFonts w:ascii="Arial" w:hAnsi="Arial" w:cs="Arial"/>
                <w:sz w:val="18"/>
                <w:szCs w:val="18"/>
              </w:rPr>
            </w:pPr>
            <w:r w:rsidRPr="00595516">
              <w:rPr>
                <w:rFonts w:ascii="Arial" w:hAnsi="Arial" w:cs="Arial"/>
                <w:sz w:val="18"/>
                <w:szCs w:val="18"/>
              </w:rPr>
              <w:t>SDC Study</w:t>
            </w:r>
          </w:p>
        </w:tc>
        <w:tc>
          <w:tcPr>
            <w:tcW w:w="1116" w:type="dxa"/>
            <w:tcBorders>
              <w:top w:val="nil"/>
              <w:left w:val="nil"/>
              <w:bottom w:val="nil"/>
              <w:right w:val="nil"/>
            </w:tcBorders>
            <w:shd w:val="clear" w:color="auto" w:fill="auto"/>
            <w:noWrap/>
            <w:vAlign w:val="bottom"/>
            <w:hideMark/>
          </w:tcPr>
          <w:p w14:paraId="40D72C06" w14:textId="77777777" w:rsidR="007F0624" w:rsidRPr="00595516" w:rsidRDefault="007F0624" w:rsidP="005D582C">
            <w:pPr>
              <w:rPr>
                <w:rFonts w:ascii="Arial" w:hAnsi="Arial" w:cs="Arial"/>
                <w:sz w:val="18"/>
                <w:szCs w:val="18"/>
              </w:rPr>
            </w:pPr>
          </w:p>
        </w:tc>
        <w:tc>
          <w:tcPr>
            <w:tcW w:w="1116" w:type="dxa"/>
            <w:tcBorders>
              <w:top w:val="nil"/>
              <w:left w:val="nil"/>
              <w:bottom w:val="nil"/>
              <w:right w:val="nil"/>
            </w:tcBorders>
            <w:shd w:val="clear" w:color="auto" w:fill="auto"/>
            <w:noWrap/>
            <w:vAlign w:val="bottom"/>
            <w:hideMark/>
          </w:tcPr>
          <w:p w14:paraId="19C0B38E" w14:textId="77777777" w:rsidR="007F0624" w:rsidRPr="00595516" w:rsidRDefault="007F0624" w:rsidP="005D582C">
            <w:pP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14:paraId="10B50C1B"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$20,000 </w:t>
            </w:r>
          </w:p>
        </w:tc>
        <w:tc>
          <w:tcPr>
            <w:tcW w:w="1116" w:type="dxa"/>
            <w:tcBorders>
              <w:top w:val="nil"/>
              <w:left w:val="nil"/>
              <w:bottom w:val="nil"/>
              <w:right w:val="nil"/>
            </w:tcBorders>
            <w:shd w:val="clear" w:color="auto" w:fill="auto"/>
            <w:noWrap/>
            <w:vAlign w:val="bottom"/>
            <w:hideMark/>
          </w:tcPr>
          <w:p w14:paraId="0C9E2028"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100%</w:t>
            </w:r>
          </w:p>
        </w:tc>
        <w:tc>
          <w:tcPr>
            <w:tcW w:w="1276" w:type="dxa"/>
            <w:tcBorders>
              <w:top w:val="nil"/>
              <w:left w:val="nil"/>
              <w:bottom w:val="nil"/>
              <w:right w:val="nil"/>
            </w:tcBorders>
            <w:shd w:val="clear" w:color="auto" w:fill="auto"/>
            <w:noWrap/>
            <w:vAlign w:val="bottom"/>
            <w:hideMark/>
          </w:tcPr>
          <w:p w14:paraId="294468C9"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$20,000 </w:t>
            </w:r>
          </w:p>
        </w:tc>
      </w:tr>
      <w:tr w:rsidR="007F0624" w:rsidRPr="00595516" w14:paraId="4776DE45" w14:textId="77777777" w:rsidTr="005D582C">
        <w:trPr>
          <w:trHeight w:val="240"/>
        </w:trPr>
        <w:tc>
          <w:tcPr>
            <w:tcW w:w="2332" w:type="dxa"/>
            <w:gridSpan w:val="2"/>
            <w:tcBorders>
              <w:top w:val="nil"/>
              <w:left w:val="nil"/>
              <w:bottom w:val="nil"/>
              <w:right w:val="nil"/>
            </w:tcBorders>
            <w:shd w:val="clear" w:color="auto" w:fill="auto"/>
            <w:noWrap/>
            <w:vAlign w:val="bottom"/>
            <w:hideMark/>
          </w:tcPr>
          <w:p w14:paraId="5A202934" w14:textId="77777777" w:rsidR="007F0624" w:rsidRPr="00595516" w:rsidRDefault="007F0624" w:rsidP="005D582C">
            <w:pPr>
              <w:rPr>
                <w:rFonts w:ascii="Arial" w:hAnsi="Arial" w:cs="Arial"/>
                <w:sz w:val="18"/>
                <w:szCs w:val="18"/>
              </w:rPr>
            </w:pPr>
            <w:r w:rsidRPr="00595516">
              <w:rPr>
                <w:rFonts w:ascii="Arial" w:hAnsi="Arial" w:cs="Arial"/>
                <w:sz w:val="18"/>
                <w:szCs w:val="18"/>
              </w:rPr>
              <w:t>Master Planning</w:t>
            </w:r>
          </w:p>
        </w:tc>
        <w:tc>
          <w:tcPr>
            <w:tcW w:w="1116" w:type="dxa"/>
            <w:tcBorders>
              <w:top w:val="nil"/>
              <w:left w:val="nil"/>
              <w:bottom w:val="nil"/>
              <w:right w:val="nil"/>
            </w:tcBorders>
            <w:shd w:val="clear" w:color="auto" w:fill="auto"/>
            <w:noWrap/>
            <w:vAlign w:val="bottom"/>
            <w:hideMark/>
          </w:tcPr>
          <w:p w14:paraId="1ED9A348" w14:textId="77777777" w:rsidR="007F0624" w:rsidRPr="00595516" w:rsidRDefault="007F0624" w:rsidP="005D582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14:paraId="1E59D082"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$100,000 </w:t>
            </w:r>
          </w:p>
        </w:tc>
        <w:tc>
          <w:tcPr>
            <w:tcW w:w="1116" w:type="dxa"/>
            <w:tcBorders>
              <w:top w:val="nil"/>
              <w:left w:val="nil"/>
              <w:bottom w:val="nil"/>
              <w:right w:val="nil"/>
            </w:tcBorders>
            <w:shd w:val="clear" w:color="auto" w:fill="auto"/>
            <w:noWrap/>
            <w:vAlign w:val="bottom"/>
            <w:hideMark/>
          </w:tcPr>
          <w:p w14:paraId="76A0CC69"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23%</w:t>
            </w:r>
          </w:p>
        </w:tc>
        <w:tc>
          <w:tcPr>
            <w:tcW w:w="1276" w:type="dxa"/>
            <w:tcBorders>
              <w:top w:val="nil"/>
              <w:left w:val="nil"/>
              <w:bottom w:val="nil"/>
              <w:right w:val="nil"/>
            </w:tcBorders>
            <w:shd w:val="clear" w:color="auto" w:fill="auto"/>
            <w:noWrap/>
            <w:vAlign w:val="bottom"/>
            <w:hideMark/>
          </w:tcPr>
          <w:p w14:paraId="11CED966"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$23,190 </w:t>
            </w:r>
          </w:p>
        </w:tc>
      </w:tr>
      <w:tr w:rsidR="007F0624" w:rsidRPr="00595516" w14:paraId="281B98C9" w14:textId="77777777" w:rsidTr="005D582C">
        <w:trPr>
          <w:trHeight w:val="240"/>
        </w:trPr>
        <w:tc>
          <w:tcPr>
            <w:tcW w:w="2332" w:type="dxa"/>
            <w:gridSpan w:val="2"/>
            <w:tcBorders>
              <w:top w:val="nil"/>
              <w:left w:val="nil"/>
              <w:bottom w:val="nil"/>
              <w:right w:val="nil"/>
            </w:tcBorders>
            <w:shd w:val="clear" w:color="auto" w:fill="auto"/>
            <w:noWrap/>
            <w:vAlign w:val="bottom"/>
            <w:hideMark/>
          </w:tcPr>
          <w:p w14:paraId="3639CA18" w14:textId="77777777" w:rsidR="007F0624" w:rsidRPr="00595516" w:rsidRDefault="007F0624" w:rsidP="005D582C">
            <w:pPr>
              <w:rPr>
                <w:rFonts w:ascii="Arial" w:hAnsi="Arial" w:cs="Arial"/>
                <w:sz w:val="18"/>
                <w:szCs w:val="18"/>
              </w:rPr>
            </w:pPr>
            <w:r w:rsidRPr="00595516">
              <w:rPr>
                <w:rFonts w:ascii="Arial" w:hAnsi="Arial" w:cs="Arial"/>
                <w:sz w:val="18"/>
                <w:szCs w:val="18"/>
              </w:rPr>
              <w:t>Accounting, Legal, etc.</w:t>
            </w:r>
          </w:p>
        </w:tc>
        <w:tc>
          <w:tcPr>
            <w:tcW w:w="1116" w:type="dxa"/>
            <w:tcBorders>
              <w:top w:val="nil"/>
              <w:left w:val="nil"/>
              <w:bottom w:val="nil"/>
              <w:right w:val="nil"/>
            </w:tcBorders>
            <w:shd w:val="clear" w:color="auto" w:fill="auto"/>
            <w:noWrap/>
            <w:vAlign w:val="bottom"/>
            <w:hideMark/>
          </w:tcPr>
          <w:p w14:paraId="620ACA11" w14:textId="77777777" w:rsidR="007F0624" w:rsidRPr="00595516" w:rsidRDefault="007F0624" w:rsidP="005D582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14:paraId="52F6D5BA"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50,000 </w:t>
            </w:r>
          </w:p>
        </w:tc>
        <w:tc>
          <w:tcPr>
            <w:tcW w:w="1116" w:type="dxa"/>
            <w:tcBorders>
              <w:top w:val="nil"/>
              <w:left w:val="nil"/>
              <w:bottom w:val="nil"/>
              <w:right w:val="nil"/>
            </w:tcBorders>
            <w:shd w:val="clear" w:color="auto" w:fill="auto"/>
            <w:noWrap/>
            <w:vAlign w:val="bottom"/>
            <w:hideMark/>
          </w:tcPr>
          <w:p w14:paraId="62721B75"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100%</w:t>
            </w:r>
          </w:p>
        </w:tc>
        <w:tc>
          <w:tcPr>
            <w:tcW w:w="1276" w:type="dxa"/>
            <w:tcBorders>
              <w:top w:val="nil"/>
              <w:left w:val="nil"/>
              <w:bottom w:val="nil"/>
              <w:right w:val="nil"/>
            </w:tcBorders>
            <w:shd w:val="clear" w:color="auto" w:fill="auto"/>
            <w:noWrap/>
            <w:vAlign w:val="bottom"/>
            <w:hideMark/>
          </w:tcPr>
          <w:p w14:paraId="4E943E01"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$50,000 </w:t>
            </w:r>
          </w:p>
        </w:tc>
      </w:tr>
      <w:tr w:rsidR="007F0624" w:rsidRPr="00595516" w14:paraId="58AB89A1" w14:textId="77777777" w:rsidTr="005D582C">
        <w:trPr>
          <w:trHeight w:val="240"/>
        </w:trPr>
        <w:tc>
          <w:tcPr>
            <w:tcW w:w="2332" w:type="dxa"/>
            <w:gridSpan w:val="2"/>
            <w:tcBorders>
              <w:top w:val="single" w:sz="4" w:space="0" w:color="auto"/>
              <w:left w:val="nil"/>
              <w:bottom w:val="single" w:sz="4" w:space="0" w:color="auto"/>
              <w:right w:val="nil"/>
            </w:tcBorders>
            <w:shd w:val="clear" w:color="auto" w:fill="auto"/>
            <w:noWrap/>
            <w:vAlign w:val="bottom"/>
            <w:hideMark/>
          </w:tcPr>
          <w:p w14:paraId="45C12A7D" w14:textId="77777777" w:rsidR="007F0624" w:rsidRPr="00595516" w:rsidRDefault="007F0624" w:rsidP="005D582C">
            <w:pPr>
              <w:rPr>
                <w:rFonts w:ascii="Arial" w:hAnsi="Arial" w:cs="Arial"/>
                <w:sz w:val="18"/>
                <w:szCs w:val="18"/>
              </w:rPr>
            </w:pPr>
            <w:r w:rsidRPr="00595516">
              <w:rPr>
                <w:rFonts w:ascii="Arial" w:hAnsi="Arial" w:cs="Arial"/>
                <w:sz w:val="18"/>
                <w:szCs w:val="18"/>
              </w:rPr>
              <w:t>Total Annual Costs</w:t>
            </w:r>
          </w:p>
        </w:tc>
        <w:tc>
          <w:tcPr>
            <w:tcW w:w="1116" w:type="dxa"/>
            <w:tcBorders>
              <w:top w:val="single" w:sz="4" w:space="0" w:color="auto"/>
              <w:left w:val="nil"/>
              <w:bottom w:val="single" w:sz="4" w:space="0" w:color="auto"/>
              <w:right w:val="nil"/>
            </w:tcBorders>
            <w:shd w:val="clear" w:color="auto" w:fill="auto"/>
            <w:noWrap/>
            <w:vAlign w:val="bottom"/>
            <w:hideMark/>
          </w:tcPr>
          <w:p w14:paraId="1E87E497" w14:textId="77777777" w:rsidR="007F0624" w:rsidRPr="00595516" w:rsidRDefault="007F0624" w:rsidP="005D582C">
            <w:pPr>
              <w:rPr>
                <w:rFonts w:ascii="Arial" w:hAnsi="Arial" w:cs="Arial"/>
                <w:sz w:val="18"/>
                <w:szCs w:val="18"/>
              </w:rPr>
            </w:pPr>
            <w:r w:rsidRPr="00595516">
              <w:rPr>
                <w:rFonts w:ascii="Arial" w:hAnsi="Arial" w:cs="Arial"/>
                <w:sz w:val="18"/>
                <w:szCs w:val="18"/>
              </w:rPr>
              <w:t> </w:t>
            </w:r>
          </w:p>
        </w:tc>
        <w:tc>
          <w:tcPr>
            <w:tcW w:w="1276" w:type="dxa"/>
            <w:tcBorders>
              <w:top w:val="single" w:sz="4" w:space="0" w:color="auto"/>
              <w:left w:val="nil"/>
              <w:bottom w:val="single" w:sz="4" w:space="0" w:color="auto"/>
              <w:right w:val="nil"/>
            </w:tcBorders>
            <w:shd w:val="clear" w:color="auto" w:fill="auto"/>
            <w:noWrap/>
            <w:vAlign w:val="bottom"/>
            <w:hideMark/>
          </w:tcPr>
          <w:p w14:paraId="5E592CE6"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$170,000 </w:t>
            </w:r>
          </w:p>
        </w:tc>
        <w:tc>
          <w:tcPr>
            <w:tcW w:w="1116" w:type="dxa"/>
            <w:tcBorders>
              <w:top w:val="single" w:sz="4" w:space="0" w:color="auto"/>
              <w:left w:val="nil"/>
              <w:bottom w:val="single" w:sz="4" w:space="0" w:color="auto"/>
              <w:right w:val="nil"/>
            </w:tcBorders>
            <w:shd w:val="clear" w:color="auto" w:fill="auto"/>
            <w:noWrap/>
            <w:vAlign w:val="bottom"/>
            <w:hideMark/>
          </w:tcPr>
          <w:p w14:paraId="1E1C6EAA" w14:textId="77777777" w:rsidR="007F0624" w:rsidRPr="00595516" w:rsidRDefault="007F0624" w:rsidP="00DE6E66">
            <w:pPr>
              <w:rPr>
                <w:rFonts w:ascii="Arial" w:hAnsi="Arial" w:cs="Arial"/>
                <w:sz w:val="18"/>
                <w:szCs w:val="18"/>
              </w:rPr>
            </w:pPr>
            <w:r w:rsidRPr="00595516">
              <w:rPr>
                <w:rFonts w:ascii="Arial" w:hAnsi="Arial" w:cs="Arial"/>
                <w:sz w:val="18"/>
                <w:szCs w:val="18"/>
              </w:rPr>
              <w:t> </w:t>
            </w:r>
          </w:p>
        </w:tc>
        <w:tc>
          <w:tcPr>
            <w:tcW w:w="1276" w:type="dxa"/>
            <w:tcBorders>
              <w:top w:val="single" w:sz="4" w:space="0" w:color="auto"/>
              <w:left w:val="nil"/>
              <w:bottom w:val="single" w:sz="4" w:space="0" w:color="auto"/>
              <w:right w:val="nil"/>
            </w:tcBorders>
            <w:shd w:val="clear" w:color="auto" w:fill="auto"/>
            <w:noWrap/>
            <w:vAlign w:val="bottom"/>
            <w:hideMark/>
          </w:tcPr>
          <w:p w14:paraId="43CE33F1" w14:textId="77777777" w:rsidR="007F0624" w:rsidRPr="00595516" w:rsidRDefault="007F0624" w:rsidP="00DE6E66">
            <w:pPr>
              <w:jc w:val="right"/>
              <w:rPr>
                <w:rFonts w:ascii="Arial" w:hAnsi="Arial" w:cs="Arial"/>
                <w:sz w:val="18"/>
                <w:szCs w:val="18"/>
              </w:rPr>
            </w:pPr>
            <w:r w:rsidRPr="00595516">
              <w:rPr>
                <w:rFonts w:ascii="Arial" w:hAnsi="Arial" w:cs="Arial"/>
                <w:sz w:val="18"/>
                <w:szCs w:val="18"/>
              </w:rPr>
              <w:t xml:space="preserve">$93,190 </w:t>
            </w:r>
          </w:p>
        </w:tc>
      </w:tr>
      <w:tr w:rsidR="007F0624" w:rsidRPr="00595516" w14:paraId="7FED0AF5" w14:textId="77777777" w:rsidTr="005D582C">
        <w:trPr>
          <w:trHeight w:val="240"/>
        </w:trPr>
        <w:tc>
          <w:tcPr>
            <w:tcW w:w="2332" w:type="dxa"/>
            <w:gridSpan w:val="2"/>
            <w:tcBorders>
              <w:top w:val="nil"/>
              <w:left w:val="nil"/>
              <w:bottom w:val="nil"/>
              <w:right w:val="nil"/>
            </w:tcBorders>
            <w:shd w:val="clear" w:color="auto" w:fill="auto"/>
            <w:noWrap/>
            <w:vAlign w:val="bottom"/>
            <w:hideMark/>
          </w:tcPr>
          <w:p w14:paraId="47CBC09A" w14:textId="0A36B422" w:rsidR="007F0624" w:rsidRPr="00595516" w:rsidRDefault="007F0624" w:rsidP="005D582C">
            <w:pPr>
              <w:rPr>
                <w:rFonts w:ascii="Arial" w:hAnsi="Arial" w:cs="Arial"/>
                <w:sz w:val="18"/>
                <w:szCs w:val="18"/>
              </w:rPr>
            </w:pPr>
            <w:r w:rsidRPr="00595516">
              <w:rPr>
                <w:rFonts w:ascii="Arial" w:hAnsi="Arial" w:cs="Arial"/>
                <w:sz w:val="18"/>
                <w:szCs w:val="18"/>
              </w:rPr>
              <w:t xml:space="preserve">Estimated </w:t>
            </w:r>
            <w:r w:rsidR="005D582C">
              <w:rPr>
                <w:rFonts w:ascii="Arial" w:hAnsi="Arial" w:cs="Arial"/>
                <w:sz w:val="18"/>
                <w:szCs w:val="18"/>
              </w:rPr>
              <w:t xml:space="preserve">Annual </w:t>
            </w:r>
            <w:r w:rsidRPr="00595516">
              <w:rPr>
                <w:rFonts w:ascii="Arial" w:hAnsi="Arial" w:cs="Arial"/>
                <w:sz w:val="18"/>
                <w:szCs w:val="18"/>
              </w:rPr>
              <w:t>EDUs</w:t>
            </w:r>
          </w:p>
        </w:tc>
        <w:tc>
          <w:tcPr>
            <w:tcW w:w="1116" w:type="dxa"/>
            <w:tcBorders>
              <w:top w:val="nil"/>
              <w:left w:val="nil"/>
              <w:bottom w:val="nil"/>
              <w:right w:val="nil"/>
            </w:tcBorders>
            <w:shd w:val="clear" w:color="auto" w:fill="auto"/>
            <w:noWrap/>
            <w:vAlign w:val="bottom"/>
            <w:hideMark/>
          </w:tcPr>
          <w:p w14:paraId="6EA8A8FD" w14:textId="77777777" w:rsidR="007F0624" w:rsidRPr="00595516" w:rsidRDefault="007F0624" w:rsidP="005D582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14:paraId="5767D1F8" w14:textId="77777777" w:rsidR="007F0624" w:rsidRPr="00595516" w:rsidRDefault="007F0624" w:rsidP="00DE6E66">
            <w:pPr>
              <w:rPr>
                <w:rFonts w:ascii="Times New Roman" w:hAnsi="Times New Roman"/>
                <w:sz w:val="20"/>
              </w:rPr>
            </w:pPr>
          </w:p>
        </w:tc>
        <w:tc>
          <w:tcPr>
            <w:tcW w:w="1116" w:type="dxa"/>
            <w:tcBorders>
              <w:top w:val="nil"/>
              <w:left w:val="nil"/>
              <w:bottom w:val="nil"/>
              <w:right w:val="nil"/>
            </w:tcBorders>
            <w:shd w:val="clear" w:color="auto" w:fill="auto"/>
            <w:noWrap/>
            <w:vAlign w:val="bottom"/>
            <w:hideMark/>
          </w:tcPr>
          <w:p w14:paraId="44EEEBD6" w14:textId="77777777" w:rsidR="007F0624" w:rsidRPr="00595516" w:rsidRDefault="007F0624" w:rsidP="00DE6E66">
            <w:pPr>
              <w:rPr>
                <w:rFonts w:ascii="Times New Roman" w:hAnsi="Times New Roman"/>
                <w:sz w:val="20"/>
              </w:rPr>
            </w:pPr>
          </w:p>
        </w:tc>
        <w:tc>
          <w:tcPr>
            <w:tcW w:w="1276" w:type="dxa"/>
            <w:tcBorders>
              <w:top w:val="nil"/>
              <w:left w:val="nil"/>
              <w:bottom w:val="nil"/>
              <w:right w:val="nil"/>
            </w:tcBorders>
            <w:shd w:val="clear" w:color="auto" w:fill="auto"/>
            <w:noWrap/>
            <w:vAlign w:val="bottom"/>
            <w:hideMark/>
          </w:tcPr>
          <w:p w14:paraId="1CDA5B4B" w14:textId="21951D0A" w:rsidR="007F0624" w:rsidRPr="00595516" w:rsidRDefault="00FF0350" w:rsidP="00DE6E66">
            <w:pPr>
              <w:jc w:val="right"/>
              <w:rPr>
                <w:rFonts w:ascii="Arial" w:hAnsi="Arial" w:cs="Arial"/>
                <w:sz w:val="18"/>
                <w:szCs w:val="18"/>
              </w:rPr>
            </w:pPr>
            <w:r>
              <w:rPr>
                <w:rFonts w:ascii="Arial" w:hAnsi="Arial" w:cs="Arial"/>
                <w:sz w:val="18"/>
                <w:szCs w:val="18"/>
              </w:rPr>
              <w:t>464</w:t>
            </w:r>
            <w:r w:rsidR="007F0624" w:rsidRPr="00595516">
              <w:rPr>
                <w:rFonts w:ascii="Arial" w:hAnsi="Arial" w:cs="Arial"/>
                <w:sz w:val="18"/>
                <w:szCs w:val="18"/>
              </w:rPr>
              <w:t xml:space="preserve"> </w:t>
            </w:r>
          </w:p>
        </w:tc>
      </w:tr>
      <w:tr w:rsidR="005D582C" w:rsidRPr="00595516" w14:paraId="1F03E87C" w14:textId="77777777" w:rsidTr="005D582C">
        <w:trPr>
          <w:trHeight w:val="197"/>
        </w:trPr>
        <w:tc>
          <w:tcPr>
            <w:tcW w:w="3448" w:type="dxa"/>
            <w:gridSpan w:val="3"/>
            <w:tcBorders>
              <w:top w:val="single" w:sz="4" w:space="0" w:color="auto"/>
              <w:left w:val="nil"/>
              <w:bottom w:val="single" w:sz="8" w:space="0" w:color="auto"/>
              <w:right w:val="nil"/>
            </w:tcBorders>
            <w:shd w:val="clear" w:color="auto" w:fill="auto"/>
            <w:noWrap/>
            <w:vAlign w:val="bottom"/>
            <w:hideMark/>
          </w:tcPr>
          <w:p w14:paraId="44FDF5BA" w14:textId="5AD420C4" w:rsidR="005D582C" w:rsidRPr="00595516" w:rsidRDefault="005D582C" w:rsidP="005D582C">
            <w:pPr>
              <w:rPr>
                <w:rFonts w:ascii="Arial" w:hAnsi="Arial" w:cs="Arial"/>
                <w:b/>
                <w:bCs/>
                <w:sz w:val="18"/>
                <w:szCs w:val="18"/>
              </w:rPr>
            </w:pPr>
            <w:r>
              <w:rPr>
                <w:rFonts w:ascii="Arial" w:hAnsi="Arial" w:cs="Arial"/>
                <w:b/>
                <w:bCs/>
                <w:sz w:val="18"/>
                <w:szCs w:val="18"/>
              </w:rPr>
              <w:t xml:space="preserve">Compliance </w:t>
            </w:r>
            <w:r w:rsidRPr="00595516">
              <w:rPr>
                <w:rFonts w:ascii="Arial" w:hAnsi="Arial" w:cs="Arial"/>
                <w:b/>
                <w:bCs/>
                <w:sz w:val="18"/>
                <w:szCs w:val="18"/>
              </w:rPr>
              <w:t>Charge/ED</w:t>
            </w:r>
            <w:r>
              <w:rPr>
                <w:rFonts w:ascii="Arial" w:hAnsi="Arial" w:cs="Arial"/>
                <w:b/>
                <w:bCs/>
                <w:sz w:val="18"/>
                <w:szCs w:val="18"/>
              </w:rPr>
              <w:t>U</w:t>
            </w:r>
          </w:p>
        </w:tc>
        <w:tc>
          <w:tcPr>
            <w:tcW w:w="1276" w:type="dxa"/>
            <w:tcBorders>
              <w:top w:val="single" w:sz="4" w:space="0" w:color="auto"/>
              <w:left w:val="nil"/>
              <w:bottom w:val="single" w:sz="8" w:space="0" w:color="auto"/>
              <w:right w:val="nil"/>
            </w:tcBorders>
            <w:shd w:val="clear" w:color="auto" w:fill="auto"/>
            <w:noWrap/>
            <w:vAlign w:val="bottom"/>
            <w:hideMark/>
          </w:tcPr>
          <w:p w14:paraId="5DC8C0A0" w14:textId="005D0510" w:rsidR="005D582C" w:rsidRPr="00595516" w:rsidRDefault="005D582C" w:rsidP="005D582C">
            <w:pPr>
              <w:jc w:val="center"/>
              <w:rPr>
                <w:rFonts w:ascii="Arial" w:hAnsi="Arial" w:cs="Arial"/>
                <w:b/>
                <w:bCs/>
                <w:sz w:val="18"/>
                <w:szCs w:val="18"/>
              </w:rPr>
            </w:pPr>
          </w:p>
        </w:tc>
        <w:tc>
          <w:tcPr>
            <w:tcW w:w="1116" w:type="dxa"/>
            <w:tcBorders>
              <w:top w:val="single" w:sz="4" w:space="0" w:color="auto"/>
              <w:left w:val="nil"/>
              <w:bottom w:val="single" w:sz="8" w:space="0" w:color="auto"/>
              <w:right w:val="nil"/>
            </w:tcBorders>
            <w:shd w:val="clear" w:color="auto" w:fill="auto"/>
            <w:noWrap/>
            <w:vAlign w:val="bottom"/>
            <w:hideMark/>
          </w:tcPr>
          <w:p w14:paraId="7992B514" w14:textId="226B104C" w:rsidR="005D582C" w:rsidRPr="00595516" w:rsidRDefault="005D582C" w:rsidP="005D582C">
            <w:pPr>
              <w:jc w:val="center"/>
              <w:rPr>
                <w:rFonts w:ascii="Arial" w:hAnsi="Arial" w:cs="Arial"/>
                <w:b/>
                <w:bCs/>
                <w:sz w:val="18"/>
                <w:szCs w:val="18"/>
              </w:rPr>
            </w:pPr>
          </w:p>
        </w:tc>
        <w:tc>
          <w:tcPr>
            <w:tcW w:w="1276" w:type="dxa"/>
            <w:tcBorders>
              <w:top w:val="single" w:sz="4" w:space="0" w:color="auto"/>
              <w:left w:val="nil"/>
              <w:bottom w:val="single" w:sz="8" w:space="0" w:color="auto"/>
              <w:right w:val="nil"/>
            </w:tcBorders>
            <w:shd w:val="clear" w:color="auto" w:fill="auto"/>
            <w:noWrap/>
            <w:vAlign w:val="bottom"/>
            <w:hideMark/>
          </w:tcPr>
          <w:p w14:paraId="0C39C33E" w14:textId="2D4E4DCD" w:rsidR="005D582C" w:rsidRPr="00595516" w:rsidRDefault="00FF0350" w:rsidP="005D582C">
            <w:pPr>
              <w:jc w:val="right"/>
              <w:rPr>
                <w:rFonts w:ascii="Arial" w:hAnsi="Arial" w:cs="Arial"/>
                <w:b/>
                <w:bCs/>
                <w:sz w:val="18"/>
                <w:szCs w:val="18"/>
              </w:rPr>
            </w:pPr>
            <w:r>
              <w:rPr>
                <w:rFonts w:ascii="Arial" w:hAnsi="Arial" w:cs="Arial"/>
                <w:b/>
                <w:bCs/>
                <w:sz w:val="18"/>
                <w:szCs w:val="18"/>
              </w:rPr>
              <w:t>$203</w:t>
            </w:r>
          </w:p>
        </w:tc>
      </w:tr>
    </w:tbl>
    <w:p w14:paraId="47C5EB98" w14:textId="701CB469" w:rsidR="004F76A3" w:rsidRPr="00B37065" w:rsidRDefault="00026CB3" w:rsidP="00AD0D2B">
      <w:pPr>
        <w:pStyle w:val="BodyText"/>
        <w:spacing w:before="240"/>
        <w:jc w:val="both"/>
        <w:rPr>
          <w:b/>
          <w:sz w:val="28"/>
          <w:szCs w:val="28"/>
        </w:rPr>
      </w:pPr>
      <w:r>
        <w:rPr>
          <w:b/>
          <w:sz w:val="28"/>
          <w:szCs w:val="28"/>
        </w:rPr>
        <w:t xml:space="preserve">SDC </w:t>
      </w:r>
      <w:r w:rsidR="001849F8">
        <w:rPr>
          <w:b/>
          <w:sz w:val="28"/>
          <w:szCs w:val="28"/>
        </w:rPr>
        <w:t>Calculation</w:t>
      </w:r>
    </w:p>
    <w:p w14:paraId="0EEBFBB7" w14:textId="19CA5104" w:rsidR="004F76A3" w:rsidRDefault="00D632B6">
      <w:pPr>
        <w:pStyle w:val="BodyText"/>
        <w:jc w:val="both"/>
      </w:pPr>
      <w:r w:rsidRPr="005E22E1">
        <w:t>The reimbursement and improvement unit costs of capacity are determined by dividing the cost bases</w:t>
      </w:r>
      <w:r w:rsidR="00AC4D12">
        <w:t xml:space="preserve"> for each</w:t>
      </w:r>
      <w:r w:rsidRPr="005E22E1">
        <w:t xml:space="preserve">, by the </w:t>
      </w:r>
      <w:r w:rsidR="00AC4D12">
        <w:t xml:space="preserve">total </w:t>
      </w:r>
      <w:r w:rsidRPr="005E22E1">
        <w:t>growth</w:t>
      </w:r>
      <w:r w:rsidR="00AC4D12">
        <w:t xml:space="preserve"> in</w:t>
      </w:r>
      <w:r w:rsidRPr="005E22E1">
        <w:t xml:space="preserve"> </w:t>
      </w:r>
      <w:r w:rsidR="00820874">
        <w:t xml:space="preserve">EDUs </w:t>
      </w:r>
      <w:r w:rsidR="00AC4D12">
        <w:t>during the planning period (from</w:t>
      </w:r>
      <w:r w:rsidRPr="005E22E1">
        <w:t xml:space="preserve"> </w:t>
      </w:r>
      <w:r w:rsidR="00026CB3">
        <w:t>Table</w:t>
      </w:r>
      <w:r w:rsidRPr="005E22E1">
        <w:t xml:space="preserve"> 1</w:t>
      </w:r>
      <w:r w:rsidR="00AC4D12">
        <w:t>)</w:t>
      </w:r>
      <w:r w:rsidRPr="005E22E1">
        <w:t xml:space="preserve">.   </w:t>
      </w:r>
      <w:r w:rsidR="00820874">
        <w:t xml:space="preserve">As shown in Table </w:t>
      </w:r>
      <w:r w:rsidR="0050517E">
        <w:t>5</w:t>
      </w:r>
      <w:r w:rsidR="00820874">
        <w:t xml:space="preserve">, the </w:t>
      </w:r>
      <w:r w:rsidR="007F0624" w:rsidRPr="001849F8">
        <w:t xml:space="preserve">total SDC per </w:t>
      </w:r>
      <w:r w:rsidR="007F0624">
        <w:t>EDU</w:t>
      </w:r>
      <w:r w:rsidR="007F0624" w:rsidRPr="001849F8">
        <w:t xml:space="preserve"> is $</w:t>
      </w:r>
      <w:r w:rsidR="00FF0350">
        <w:t>8</w:t>
      </w:r>
      <w:r w:rsidR="007F0624">
        <w:t>,</w:t>
      </w:r>
      <w:r w:rsidR="00FF0350">
        <w:t>033</w:t>
      </w:r>
      <w:r w:rsidR="007F0624" w:rsidRPr="001849F8">
        <w:t>, including the reimbursement component of $</w:t>
      </w:r>
      <w:r w:rsidR="00FF0350">
        <w:t>542,166</w:t>
      </w:r>
      <w:r w:rsidR="00AC4D12">
        <w:t>,</w:t>
      </w:r>
      <w:r w:rsidR="007F0624" w:rsidRPr="001849F8">
        <w:t xml:space="preserve"> the improvement component of $</w:t>
      </w:r>
      <w:r w:rsidR="00FF0350">
        <w:t>3,090,735</w:t>
      </w:r>
      <w:r w:rsidR="007F0624" w:rsidRPr="001849F8">
        <w:t xml:space="preserve">, and the </w:t>
      </w:r>
      <w:r w:rsidR="00AC4D12">
        <w:t>compliance</w:t>
      </w:r>
      <w:r w:rsidR="007F0624" w:rsidRPr="001849F8">
        <w:t xml:space="preserve"> charge of $</w:t>
      </w:r>
      <w:r w:rsidR="007F0624">
        <w:t>20</w:t>
      </w:r>
      <w:r w:rsidR="00FF0350">
        <w:t>3</w:t>
      </w:r>
      <w:r w:rsidR="00AC4D12">
        <w:t xml:space="preserve"> (from Table 4)</w:t>
      </w:r>
      <w:r w:rsidR="007F0624" w:rsidRPr="001849F8">
        <w:t>.</w:t>
      </w:r>
    </w:p>
    <w:tbl>
      <w:tblPr>
        <w:tblW w:w="5504" w:type="dxa"/>
        <w:tblLook w:val="04A0" w:firstRow="1" w:lastRow="0" w:firstColumn="1" w:lastColumn="0" w:noHBand="0" w:noVBand="1"/>
      </w:tblPr>
      <w:tblGrid>
        <w:gridCol w:w="1756"/>
        <w:gridCol w:w="1336"/>
        <w:gridCol w:w="1056"/>
        <w:gridCol w:w="1356"/>
      </w:tblGrid>
      <w:tr w:rsidR="006F4C46" w:rsidRPr="006F4C46" w14:paraId="12AE27E1" w14:textId="77777777" w:rsidTr="006F4C46">
        <w:trPr>
          <w:trHeight w:val="240"/>
        </w:trPr>
        <w:tc>
          <w:tcPr>
            <w:tcW w:w="1756" w:type="dxa"/>
            <w:tcBorders>
              <w:top w:val="nil"/>
              <w:left w:val="nil"/>
              <w:bottom w:val="nil"/>
              <w:right w:val="nil"/>
            </w:tcBorders>
            <w:shd w:val="clear" w:color="auto" w:fill="auto"/>
            <w:noWrap/>
            <w:vAlign w:val="bottom"/>
            <w:hideMark/>
          </w:tcPr>
          <w:p w14:paraId="0ADB2AEB" w14:textId="61A6344E" w:rsidR="006F4C46" w:rsidRPr="006F4C46" w:rsidRDefault="00AC4D12" w:rsidP="006F4C46">
            <w:pPr>
              <w:rPr>
                <w:rFonts w:ascii="Arial" w:hAnsi="Arial" w:cs="Arial"/>
                <w:b/>
                <w:bCs/>
                <w:color w:val="000000" w:themeColor="text1"/>
                <w:sz w:val="18"/>
                <w:szCs w:val="18"/>
              </w:rPr>
            </w:pPr>
            <w:r>
              <w:rPr>
                <w:rFonts w:ascii="Arial" w:hAnsi="Arial" w:cs="Arial"/>
                <w:b/>
                <w:bCs/>
                <w:color w:val="000000" w:themeColor="text1"/>
                <w:sz w:val="18"/>
                <w:szCs w:val="18"/>
              </w:rPr>
              <w:t>Table 5</w:t>
            </w:r>
          </w:p>
        </w:tc>
        <w:tc>
          <w:tcPr>
            <w:tcW w:w="1336" w:type="dxa"/>
            <w:tcBorders>
              <w:top w:val="nil"/>
              <w:left w:val="nil"/>
              <w:bottom w:val="nil"/>
              <w:right w:val="nil"/>
            </w:tcBorders>
            <w:shd w:val="clear" w:color="auto" w:fill="auto"/>
            <w:noWrap/>
            <w:vAlign w:val="bottom"/>
            <w:hideMark/>
          </w:tcPr>
          <w:p w14:paraId="150A286E" w14:textId="77777777" w:rsidR="006F4C46" w:rsidRPr="006F4C46" w:rsidRDefault="006F4C46" w:rsidP="006F4C46">
            <w:pPr>
              <w:rPr>
                <w:rFonts w:ascii="Arial" w:hAnsi="Arial" w:cs="Arial"/>
                <w:b/>
                <w:bCs/>
                <w:color w:val="000000" w:themeColor="text1"/>
                <w:sz w:val="18"/>
                <w:szCs w:val="18"/>
              </w:rPr>
            </w:pPr>
          </w:p>
        </w:tc>
        <w:tc>
          <w:tcPr>
            <w:tcW w:w="1056" w:type="dxa"/>
            <w:tcBorders>
              <w:top w:val="nil"/>
              <w:left w:val="nil"/>
              <w:bottom w:val="nil"/>
              <w:right w:val="nil"/>
            </w:tcBorders>
            <w:shd w:val="clear" w:color="auto" w:fill="auto"/>
            <w:noWrap/>
            <w:vAlign w:val="bottom"/>
            <w:hideMark/>
          </w:tcPr>
          <w:p w14:paraId="41BDBA22" w14:textId="77777777" w:rsidR="006F4C46" w:rsidRPr="006F4C46" w:rsidRDefault="006F4C46" w:rsidP="006F4C46">
            <w:pPr>
              <w:rPr>
                <w:rFonts w:ascii="Times New Roman" w:hAnsi="Times New Roman"/>
                <w:color w:val="000000" w:themeColor="text1"/>
                <w:sz w:val="20"/>
              </w:rPr>
            </w:pPr>
          </w:p>
        </w:tc>
        <w:tc>
          <w:tcPr>
            <w:tcW w:w="1356" w:type="dxa"/>
            <w:tcBorders>
              <w:top w:val="nil"/>
              <w:left w:val="nil"/>
              <w:bottom w:val="nil"/>
              <w:right w:val="nil"/>
            </w:tcBorders>
            <w:shd w:val="clear" w:color="auto" w:fill="auto"/>
            <w:noWrap/>
            <w:vAlign w:val="bottom"/>
            <w:hideMark/>
          </w:tcPr>
          <w:p w14:paraId="269A90B5" w14:textId="77777777" w:rsidR="006F4C46" w:rsidRPr="006F4C46" w:rsidRDefault="006F4C46" w:rsidP="006F4C46">
            <w:pPr>
              <w:rPr>
                <w:rFonts w:ascii="Times New Roman" w:hAnsi="Times New Roman"/>
                <w:color w:val="000000" w:themeColor="text1"/>
                <w:sz w:val="20"/>
              </w:rPr>
            </w:pPr>
          </w:p>
        </w:tc>
      </w:tr>
      <w:tr w:rsidR="006F4C46" w:rsidRPr="006F4C46" w14:paraId="664B6A61" w14:textId="77777777" w:rsidTr="006F4C46">
        <w:trPr>
          <w:trHeight w:val="240"/>
        </w:trPr>
        <w:tc>
          <w:tcPr>
            <w:tcW w:w="1756" w:type="dxa"/>
            <w:tcBorders>
              <w:top w:val="nil"/>
              <w:left w:val="nil"/>
              <w:bottom w:val="nil"/>
              <w:right w:val="nil"/>
            </w:tcBorders>
            <w:shd w:val="clear" w:color="auto" w:fill="auto"/>
            <w:noWrap/>
            <w:vAlign w:val="bottom"/>
            <w:hideMark/>
          </w:tcPr>
          <w:p w14:paraId="187FF7BF" w14:textId="77777777" w:rsidR="006F4C46" w:rsidRPr="006F4C46" w:rsidRDefault="006F4C46" w:rsidP="006F4C46">
            <w:pPr>
              <w:rPr>
                <w:rFonts w:ascii="Arial" w:hAnsi="Arial" w:cs="Arial"/>
                <w:i/>
                <w:iCs/>
                <w:color w:val="000000" w:themeColor="text1"/>
                <w:sz w:val="18"/>
                <w:szCs w:val="18"/>
              </w:rPr>
            </w:pPr>
            <w:r w:rsidRPr="006F4C46">
              <w:rPr>
                <w:rFonts w:ascii="Arial" w:hAnsi="Arial" w:cs="Arial"/>
                <w:i/>
                <w:iCs/>
                <w:color w:val="000000" w:themeColor="text1"/>
                <w:sz w:val="18"/>
                <w:szCs w:val="18"/>
              </w:rPr>
              <w:t>SDC Calculation</w:t>
            </w:r>
          </w:p>
        </w:tc>
        <w:tc>
          <w:tcPr>
            <w:tcW w:w="1336" w:type="dxa"/>
            <w:tcBorders>
              <w:top w:val="nil"/>
              <w:left w:val="nil"/>
              <w:bottom w:val="nil"/>
              <w:right w:val="nil"/>
            </w:tcBorders>
            <w:shd w:val="clear" w:color="auto" w:fill="auto"/>
            <w:noWrap/>
            <w:vAlign w:val="bottom"/>
            <w:hideMark/>
          </w:tcPr>
          <w:p w14:paraId="00501AD4" w14:textId="77777777" w:rsidR="006F4C46" w:rsidRPr="006F4C46" w:rsidRDefault="006F4C46" w:rsidP="006F4C46">
            <w:pPr>
              <w:rPr>
                <w:rFonts w:ascii="Arial" w:hAnsi="Arial" w:cs="Arial"/>
                <w:i/>
                <w:iCs/>
                <w:color w:val="000000" w:themeColor="text1"/>
                <w:sz w:val="18"/>
                <w:szCs w:val="18"/>
              </w:rPr>
            </w:pPr>
          </w:p>
        </w:tc>
        <w:tc>
          <w:tcPr>
            <w:tcW w:w="1056" w:type="dxa"/>
            <w:tcBorders>
              <w:top w:val="nil"/>
              <w:left w:val="nil"/>
              <w:bottom w:val="nil"/>
              <w:right w:val="nil"/>
            </w:tcBorders>
            <w:shd w:val="clear" w:color="auto" w:fill="auto"/>
            <w:noWrap/>
            <w:vAlign w:val="bottom"/>
            <w:hideMark/>
          </w:tcPr>
          <w:p w14:paraId="1C21F296" w14:textId="77777777" w:rsidR="006F4C46" w:rsidRPr="006F4C46" w:rsidRDefault="006F4C46" w:rsidP="006F4C46">
            <w:pPr>
              <w:rPr>
                <w:rFonts w:ascii="Times New Roman" w:hAnsi="Times New Roman"/>
                <w:color w:val="000000" w:themeColor="text1"/>
                <w:sz w:val="20"/>
              </w:rPr>
            </w:pPr>
          </w:p>
        </w:tc>
        <w:tc>
          <w:tcPr>
            <w:tcW w:w="1356" w:type="dxa"/>
            <w:tcBorders>
              <w:top w:val="nil"/>
              <w:left w:val="nil"/>
              <w:bottom w:val="nil"/>
              <w:right w:val="nil"/>
            </w:tcBorders>
            <w:shd w:val="clear" w:color="auto" w:fill="auto"/>
            <w:noWrap/>
            <w:vAlign w:val="bottom"/>
            <w:hideMark/>
          </w:tcPr>
          <w:p w14:paraId="5D64277A" w14:textId="77777777" w:rsidR="006F4C46" w:rsidRPr="006F4C46" w:rsidRDefault="006F4C46" w:rsidP="006F4C46">
            <w:pPr>
              <w:rPr>
                <w:rFonts w:ascii="Times New Roman" w:hAnsi="Times New Roman"/>
                <w:color w:val="000000" w:themeColor="text1"/>
                <w:sz w:val="20"/>
              </w:rPr>
            </w:pPr>
          </w:p>
        </w:tc>
      </w:tr>
      <w:tr w:rsidR="006F4C46" w:rsidRPr="006F4C46" w14:paraId="72AAD75D" w14:textId="77777777" w:rsidTr="006F4C46">
        <w:trPr>
          <w:trHeight w:val="240"/>
        </w:trPr>
        <w:tc>
          <w:tcPr>
            <w:tcW w:w="1756" w:type="dxa"/>
            <w:tcBorders>
              <w:top w:val="single" w:sz="4" w:space="0" w:color="auto"/>
              <w:left w:val="nil"/>
              <w:bottom w:val="nil"/>
              <w:right w:val="nil"/>
            </w:tcBorders>
            <w:shd w:val="clear" w:color="auto" w:fill="auto"/>
            <w:noWrap/>
            <w:vAlign w:val="bottom"/>
            <w:hideMark/>
          </w:tcPr>
          <w:p w14:paraId="763CFD20" w14:textId="77777777" w:rsidR="006F4C46" w:rsidRPr="006F4C46" w:rsidRDefault="006F4C46" w:rsidP="006F4C46">
            <w:pPr>
              <w:rPr>
                <w:rFonts w:ascii="Arial" w:hAnsi="Arial" w:cs="Arial"/>
                <w:b/>
                <w:bCs/>
                <w:color w:val="000000" w:themeColor="text1"/>
                <w:sz w:val="18"/>
                <w:szCs w:val="18"/>
              </w:rPr>
            </w:pPr>
            <w:r w:rsidRPr="006F4C46">
              <w:rPr>
                <w:rFonts w:ascii="Arial" w:hAnsi="Arial" w:cs="Arial"/>
                <w:b/>
                <w:bCs/>
                <w:color w:val="000000" w:themeColor="text1"/>
                <w:sz w:val="18"/>
                <w:szCs w:val="18"/>
              </w:rPr>
              <w:t> </w:t>
            </w:r>
          </w:p>
        </w:tc>
        <w:tc>
          <w:tcPr>
            <w:tcW w:w="1336" w:type="dxa"/>
            <w:tcBorders>
              <w:top w:val="single" w:sz="4" w:space="0" w:color="auto"/>
              <w:left w:val="nil"/>
              <w:bottom w:val="nil"/>
              <w:right w:val="nil"/>
            </w:tcBorders>
            <w:shd w:val="clear" w:color="auto" w:fill="auto"/>
            <w:noWrap/>
            <w:vAlign w:val="bottom"/>
            <w:hideMark/>
          </w:tcPr>
          <w:p w14:paraId="1CC7B86D" w14:textId="58A63878" w:rsidR="006F4C46" w:rsidRPr="00AC4D12" w:rsidRDefault="00AC4D12" w:rsidP="00AC4D12">
            <w:pPr>
              <w:jc w:val="center"/>
              <w:rPr>
                <w:rFonts w:ascii="Arial" w:hAnsi="Arial" w:cs="Arial"/>
                <w:b/>
                <w:color w:val="000000" w:themeColor="text1"/>
                <w:sz w:val="18"/>
                <w:szCs w:val="18"/>
              </w:rPr>
            </w:pPr>
            <w:r w:rsidRPr="00AC4D12">
              <w:rPr>
                <w:rFonts w:ascii="Arial" w:hAnsi="Arial" w:cs="Arial"/>
                <w:b/>
                <w:color w:val="000000" w:themeColor="text1"/>
                <w:sz w:val="18"/>
                <w:szCs w:val="18"/>
              </w:rPr>
              <w:t>Cost Basis</w:t>
            </w:r>
          </w:p>
        </w:tc>
        <w:tc>
          <w:tcPr>
            <w:tcW w:w="1056" w:type="dxa"/>
            <w:tcBorders>
              <w:top w:val="single" w:sz="4" w:space="0" w:color="auto"/>
              <w:left w:val="nil"/>
              <w:bottom w:val="nil"/>
              <w:right w:val="nil"/>
            </w:tcBorders>
            <w:shd w:val="clear" w:color="auto" w:fill="auto"/>
            <w:noWrap/>
            <w:vAlign w:val="bottom"/>
            <w:hideMark/>
          </w:tcPr>
          <w:p w14:paraId="34FAF48E" w14:textId="77777777" w:rsidR="006F4C46" w:rsidRPr="006F4C46" w:rsidRDefault="006F4C46"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1356" w:type="dxa"/>
            <w:tcBorders>
              <w:top w:val="single" w:sz="4" w:space="0" w:color="auto"/>
              <w:left w:val="nil"/>
              <w:bottom w:val="nil"/>
              <w:right w:val="nil"/>
            </w:tcBorders>
            <w:shd w:val="clear" w:color="auto" w:fill="auto"/>
            <w:noWrap/>
            <w:vAlign w:val="bottom"/>
            <w:hideMark/>
          </w:tcPr>
          <w:p w14:paraId="1A84C5F4" w14:textId="77777777" w:rsidR="006F4C46" w:rsidRPr="006F4C46" w:rsidRDefault="006F4C46"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r>
      <w:tr w:rsidR="006F4C46" w:rsidRPr="006F4C46" w14:paraId="6E652C95" w14:textId="77777777" w:rsidTr="006F4C46">
        <w:trPr>
          <w:trHeight w:val="260"/>
        </w:trPr>
        <w:tc>
          <w:tcPr>
            <w:tcW w:w="1756" w:type="dxa"/>
            <w:tcBorders>
              <w:top w:val="nil"/>
              <w:left w:val="nil"/>
              <w:bottom w:val="single" w:sz="8" w:space="0" w:color="auto"/>
              <w:right w:val="nil"/>
            </w:tcBorders>
            <w:shd w:val="clear" w:color="auto" w:fill="auto"/>
            <w:noWrap/>
            <w:vAlign w:val="bottom"/>
            <w:hideMark/>
          </w:tcPr>
          <w:p w14:paraId="1F14EDB1" w14:textId="77777777" w:rsidR="006F4C46" w:rsidRPr="006F4C46" w:rsidRDefault="006F4C46"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1336" w:type="dxa"/>
            <w:tcBorders>
              <w:top w:val="nil"/>
              <w:left w:val="nil"/>
              <w:bottom w:val="single" w:sz="8" w:space="0" w:color="auto"/>
              <w:right w:val="nil"/>
            </w:tcBorders>
            <w:shd w:val="clear" w:color="auto" w:fill="auto"/>
            <w:vAlign w:val="bottom"/>
            <w:hideMark/>
          </w:tcPr>
          <w:p w14:paraId="00EF7027" w14:textId="77777777" w:rsidR="006F4C46" w:rsidRPr="006F4C46" w:rsidRDefault="006F4C46"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w:t>
            </w:r>
          </w:p>
        </w:tc>
        <w:tc>
          <w:tcPr>
            <w:tcW w:w="1056" w:type="dxa"/>
            <w:tcBorders>
              <w:top w:val="nil"/>
              <w:left w:val="nil"/>
              <w:bottom w:val="single" w:sz="8" w:space="0" w:color="auto"/>
              <w:right w:val="nil"/>
            </w:tcBorders>
            <w:shd w:val="clear" w:color="auto" w:fill="auto"/>
            <w:vAlign w:val="bottom"/>
            <w:hideMark/>
          </w:tcPr>
          <w:p w14:paraId="7CAE3B44" w14:textId="77777777" w:rsidR="006F4C46" w:rsidRPr="006F4C46" w:rsidRDefault="006F4C46"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EDUs</w:t>
            </w:r>
          </w:p>
        </w:tc>
        <w:tc>
          <w:tcPr>
            <w:tcW w:w="1356" w:type="dxa"/>
            <w:tcBorders>
              <w:top w:val="nil"/>
              <w:left w:val="nil"/>
              <w:bottom w:val="single" w:sz="8" w:space="0" w:color="auto"/>
              <w:right w:val="nil"/>
            </w:tcBorders>
            <w:shd w:val="clear" w:color="auto" w:fill="auto"/>
            <w:vAlign w:val="bottom"/>
            <w:hideMark/>
          </w:tcPr>
          <w:p w14:paraId="43249B43" w14:textId="77777777" w:rsidR="006F4C46" w:rsidRPr="006F4C46" w:rsidRDefault="006F4C46"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$/EDU</w:t>
            </w:r>
          </w:p>
        </w:tc>
      </w:tr>
      <w:tr w:rsidR="00FF0350" w:rsidRPr="006F4C46" w14:paraId="336975F6" w14:textId="77777777" w:rsidTr="00FF0350">
        <w:trPr>
          <w:trHeight w:val="240"/>
        </w:trPr>
        <w:tc>
          <w:tcPr>
            <w:tcW w:w="1756" w:type="dxa"/>
            <w:tcBorders>
              <w:top w:val="nil"/>
              <w:left w:val="nil"/>
              <w:bottom w:val="nil"/>
              <w:right w:val="nil"/>
            </w:tcBorders>
            <w:shd w:val="clear" w:color="auto" w:fill="auto"/>
            <w:noWrap/>
            <w:vAlign w:val="bottom"/>
            <w:hideMark/>
          </w:tcPr>
          <w:p w14:paraId="2A5008E3"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Improvement</w:t>
            </w:r>
          </w:p>
        </w:tc>
        <w:tc>
          <w:tcPr>
            <w:tcW w:w="1336" w:type="dxa"/>
            <w:tcBorders>
              <w:top w:val="nil"/>
              <w:left w:val="nil"/>
              <w:bottom w:val="nil"/>
              <w:right w:val="nil"/>
            </w:tcBorders>
            <w:shd w:val="clear" w:color="auto" w:fill="auto"/>
            <w:noWrap/>
            <w:vAlign w:val="bottom"/>
            <w:hideMark/>
          </w:tcPr>
          <w:p w14:paraId="5B71A6D5" w14:textId="108C5C56" w:rsidR="00FF0350" w:rsidRPr="006F4C46" w:rsidRDefault="00FF0350" w:rsidP="00FF0350">
            <w:pPr>
              <w:jc w:val="right"/>
              <w:rPr>
                <w:rFonts w:ascii="Arial" w:hAnsi="Arial" w:cs="Arial"/>
                <w:color w:val="000000" w:themeColor="text1"/>
                <w:sz w:val="18"/>
                <w:szCs w:val="18"/>
              </w:rPr>
            </w:pPr>
            <w:r>
              <w:rPr>
                <w:rFonts w:ascii="Arial" w:hAnsi="Arial" w:cs="Arial"/>
                <w:color w:val="000000"/>
                <w:sz w:val="18"/>
                <w:szCs w:val="18"/>
              </w:rPr>
              <w:t>$3,090,735</w:t>
            </w:r>
          </w:p>
        </w:tc>
        <w:tc>
          <w:tcPr>
            <w:tcW w:w="1056" w:type="dxa"/>
            <w:tcBorders>
              <w:top w:val="nil"/>
              <w:left w:val="nil"/>
              <w:bottom w:val="nil"/>
              <w:right w:val="nil"/>
            </w:tcBorders>
            <w:shd w:val="clear" w:color="auto" w:fill="auto"/>
            <w:noWrap/>
            <w:vAlign w:val="bottom"/>
            <w:hideMark/>
          </w:tcPr>
          <w:p w14:paraId="321A2653" w14:textId="027EEE06" w:rsidR="00FF0350" w:rsidRPr="006F4C46" w:rsidRDefault="00FF0350" w:rsidP="00FF0350">
            <w:pPr>
              <w:jc w:val="right"/>
              <w:rPr>
                <w:rFonts w:ascii="Arial" w:hAnsi="Arial" w:cs="Arial"/>
                <w:color w:val="000000" w:themeColor="text1"/>
                <w:sz w:val="18"/>
                <w:szCs w:val="18"/>
              </w:rPr>
            </w:pPr>
            <w:r>
              <w:rPr>
                <w:rFonts w:ascii="Arial" w:hAnsi="Arial" w:cs="Arial"/>
                <w:color w:val="000000"/>
                <w:sz w:val="18"/>
                <w:szCs w:val="18"/>
              </w:rPr>
              <w:t xml:space="preserve">          464 </w:t>
            </w:r>
          </w:p>
        </w:tc>
        <w:tc>
          <w:tcPr>
            <w:tcW w:w="1356" w:type="dxa"/>
            <w:tcBorders>
              <w:top w:val="nil"/>
              <w:left w:val="nil"/>
              <w:bottom w:val="nil"/>
              <w:right w:val="nil"/>
            </w:tcBorders>
            <w:shd w:val="clear" w:color="auto" w:fill="auto"/>
            <w:noWrap/>
            <w:vAlign w:val="bottom"/>
            <w:hideMark/>
          </w:tcPr>
          <w:p w14:paraId="303D1C0A" w14:textId="2E6E1143" w:rsidR="00FF0350" w:rsidRPr="006F4C46" w:rsidRDefault="00FF0350" w:rsidP="00FF0350">
            <w:pPr>
              <w:jc w:val="right"/>
              <w:rPr>
                <w:rFonts w:ascii="Arial" w:hAnsi="Arial" w:cs="Arial"/>
                <w:color w:val="000000" w:themeColor="text1"/>
                <w:sz w:val="18"/>
                <w:szCs w:val="18"/>
              </w:rPr>
            </w:pPr>
            <w:r>
              <w:rPr>
                <w:rFonts w:ascii="Arial" w:hAnsi="Arial" w:cs="Arial"/>
                <w:color w:val="000000"/>
                <w:sz w:val="18"/>
                <w:szCs w:val="18"/>
              </w:rPr>
              <w:t>$6,661</w:t>
            </w:r>
          </w:p>
        </w:tc>
      </w:tr>
      <w:tr w:rsidR="00FF0350" w:rsidRPr="006F4C46" w14:paraId="372C1C2C" w14:textId="77777777" w:rsidTr="00FF0350">
        <w:trPr>
          <w:trHeight w:val="240"/>
        </w:trPr>
        <w:tc>
          <w:tcPr>
            <w:tcW w:w="1756" w:type="dxa"/>
            <w:tcBorders>
              <w:top w:val="nil"/>
              <w:left w:val="nil"/>
              <w:bottom w:val="nil"/>
              <w:right w:val="nil"/>
            </w:tcBorders>
            <w:shd w:val="clear" w:color="auto" w:fill="auto"/>
            <w:noWrap/>
            <w:vAlign w:val="bottom"/>
            <w:hideMark/>
          </w:tcPr>
          <w:p w14:paraId="6FDF3F66" w14:textId="77777777" w:rsidR="00FF0350" w:rsidRPr="006F4C46" w:rsidRDefault="00FF0350" w:rsidP="00FF0350">
            <w:pPr>
              <w:outlineLvl w:val="0"/>
              <w:rPr>
                <w:rFonts w:ascii="Arial" w:hAnsi="Arial" w:cs="Arial"/>
                <w:color w:val="000000" w:themeColor="text1"/>
                <w:sz w:val="18"/>
                <w:szCs w:val="18"/>
              </w:rPr>
            </w:pPr>
            <w:r w:rsidRPr="006F4C46">
              <w:rPr>
                <w:rFonts w:ascii="Arial" w:hAnsi="Arial" w:cs="Arial"/>
                <w:color w:val="000000" w:themeColor="text1"/>
                <w:sz w:val="18"/>
                <w:szCs w:val="18"/>
              </w:rPr>
              <w:t>Reimbursement</w:t>
            </w:r>
          </w:p>
        </w:tc>
        <w:tc>
          <w:tcPr>
            <w:tcW w:w="1336" w:type="dxa"/>
            <w:tcBorders>
              <w:top w:val="nil"/>
              <w:left w:val="nil"/>
              <w:bottom w:val="nil"/>
              <w:right w:val="nil"/>
            </w:tcBorders>
            <w:shd w:val="clear" w:color="auto" w:fill="auto"/>
            <w:noWrap/>
            <w:vAlign w:val="bottom"/>
            <w:hideMark/>
          </w:tcPr>
          <w:p w14:paraId="62900E82" w14:textId="3D0CD0B4"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$542,166</w:t>
            </w:r>
          </w:p>
        </w:tc>
        <w:tc>
          <w:tcPr>
            <w:tcW w:w="1056" w:type="dxa"/>
            <w:tcBorders>
              <w:top w:val="nil"/>
              <w:left w:val="nil"/>
              <w:bottom w:val="nil"/>
              <w:right w:val="nil"/>
            </w:tcBorders>
            <w:shd w:val="clear" w:color="auto" w:fill="auto"/>
            <w:noWrap/>
            <w:vAlign w:val="bottom"/>
            <w:hideMark/>
          </w:tcPr>
          <w:p w14:paraId="4B898524" w14:textId="76CC3C9C"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 xml:space="preserve">          464 </w:t>
            </w:r>
          </w:p>
        </w:tc>
        <w:tc>
          <w:tcPr>
            <w:tcW w:w="1356" w:type="dxa"/>
            <w:tcBorders>
              <w:top w:val="nil"/>
              <w:left w:val="nil"/>
              <w:bottom w:val="nil"/>
              <w:right w:val="nil"/>
            </w:tcBorders>
            <w:shd w:val="clear" w:color="auto" w:fill="auto"/>
            <w:noWrap/>
            <w:vAlign w:val="bottom"/>
            <w:hideMark/>
          </w:tcPr>
          <w:p w14:paraId="75C58FD7" w14:textId="30CDB93A"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$1,168</w:t>
            </w:r>
          </w:p>
        </w:tc>
      </w:tr>
      <w:tr w:rsidR="00FF0350" w:rsidRPr="006F4C46" w14:paraId="45B01D69" w14:textId="77777777" w:rsidTr="00FF0350">
        <w:trPr>
          <w:trHeight w:val="240"/>
        </w:trPr>
        <w:tc>
          <w:tcPr>
            <w:tcW w:w="1756" w:type="dxa"/>
            <w:tcBorders>
              <w:top w:val="nil"/>
              <w:left w:val="nil"/>
              <w:bottom w:val="nil"/>
              <w:right w:val="nil"/>
            </w:tcBorders>
            <w:shd w:val="clear" w:color="auto" w:fill="auto"/>
            <w:noWrap/>
            <w:vAlign w:val="bottom"/>
            <w:hideMark/>
          </w:tcPr>
          <w:p w14:paraId="3241A192" w14:textId="77777777" w:rsidR="00FF0350" w:rsidRPr="006F4C46" w:rsidRDefault="00FF0350" w:rsidP="00FF0350">
            <w:pPr>
              <w:outlineLvl w:val="0"/>
              <w:rPr>
                <w:rFonts w:ascii="Arial" w:hAnsi="Arial" w:cs="Arial"/>
                <w:color w:val="000000" w:themeColor="text1"/>
                <w:sz w:val="18"/>
                <w:szCs w:val="18"/>
              </w:rPr>
            </w:pPr>
            <w:r w:rsidRPr="006F4C46">
              <w:rPr>
                <w:rFonts w:ascii="Arial" w:hAnsi="Arial" w:cs="Arial"/>
                <w:color w:val="000000" w:themeColor="text1"/>
                <w:sz w:val="18"/>
                <w:szCs w:val="18"/>
              </w:rPr>
              <w:t>Compliance</w:t>
            </w:r>
          </w:p>
        </w:tc>
        <w:tc>
          <w:tcPr>
            <w:tcW w:w="1336" w:type="dxa"/>
            <w:tcBorders>
              <w:top w:val="nil"/>
              <w:left w:val="nil"/>
              <w:bottom w:val="nil"/>
              <w:right w:val="nil"/>
            </w:tcBorders>
            <w:shd w:val="clear" w:color="auto" w:fill="auto"/>
            <w:noWrap/>
            <w:vAlign w:val="bottom"/>
            <w:hideMark/>
          </w:tcPr>
          <w:p w14:paraId="1AE032DC" w14:textId="5F7D3519"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$94,364</w:t>
            </w:r>
          </w:p>
        </w:tc>
        <w:tc>
          <w:tcPr>
            <w:tcW w:w="1056" w:type="dxa"/>
            <w:tcBorders>
              <w:top w:val="nil"/>
              <w:left w:val="nil"/>
              <w:bottom w:val="nil"/>
              <w:right w:val="nil"/>
            </w:tcBorders>
            <w:shd w:val="clear" w:color="auto" w:fill="auto"/>
            <w:noWrap/>
            <w:vAlign w:val="bottom"/>
            <w:hideMark/>
          </w:tcPr>
          <w:p w14:paraId="260BED14" w14:textId="5E19C32B"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 xml:space="preserve">          464 </w:t>
            </w:r>
          </w:p>
        </w:tc>
        <w:tc>
          <w:tcPr>
            <w:tcW w:w="1356" w:type="dxa"/>
            <w:tcBorders>
              <w:top w:val="nil"/>
              <w:left w:val="nil"/>
              <w:bottom w:val="nil"/>
              <w:right w:val="nil"/>
            </w:tcBorders>
            <w:shd w:val="clear" w:color="auto" w:fill="auto"/>
            <w:noWrap/>
            <w:vAlign w:val="bottom"/>
            <w:hideMark/>
          </w:tcPr>
          <w:p w14:paraId="3292D2DC" w14:textId="34A46152" w:rsidR="00FF0350" w:rsidRPr="006F4C46" w:rsidRDefault="00FF0350" w:rsidP="00FF0350">
            <w:pPr>
              <w:jc w:val="right"/>
              <w:outlineLvl w:val="0"/>
              <w:rPr>
                <w:rFonts w:ascii="Arial" w:hAnsi="Arial" w:cs="Arial"/>
                <w:color w:val="000000" w:themeColor="text1"/>
                <w:sz w:val="18"/>
                <w:szCs w:val="18"/>
              </w:rPr>
            </w:pPr>
            <w:r>
              <w:rPr>
                <w:rFonts w:ascii="Arial" w:hAnsi="Arial" w:cs="Arial"/>
                <w:color w:val="000000"/>
                <w:sz w:val="18"/>
                <w:szCs w:val="18"/>
              </w:rPr>
              <w:t>$203</w:t>
            </w:r>
          </w:p>
        </w:tc>
      </w:tr>
      <w:tr w:rsidR="00FF0350" w:rsidRPr="006F4C46" w14:paraId="501C9C79" w14:textId="77777777" w:rsidTr="00FF0350">
        <w:trPr>
          <w:trHeight w:val="240"/>
        </w:trPr>
        <w:tc>
          <w:tcPr>
            <w:tcW w:w="1756" w:type="dxa"/>
            <w:tcBorders>
              <w:top w:val="single" w:sz="4" w:space="0" w:color="auto"/>
              <w:left w:val="nil"/>
              <w:bottom w:val="single" w:sz="4" w:space="0" w:color="auto"/>
              <w:right w:val="nil"/>
            </w:tcBorders>
            <w:shd w:val="clear" w:color="auto" w:fill="auto"/>
            <w:noWrap/>
            <w:vAlign w:val="bottom"/>
            <w:hideMark/>
          </w:tcPr>
          <w:p w14:paraId="106516AB" w14:textId="77777777" w:rsidR="00FF0350" w:rsidRPr="00AC4D12" w:rsidRDefault="00FF0350" w:rsidP="00FF0350">
            <w:pPr>
              <w:outlineLvl w:val="0"/>
              <w:rPr>
                <w:rFonts w:ascii="Arial" w:hAnsi="Arial" w:cs="Arial"/>
                <w:b/>
                <w:color w:val="000000" w:themeColor="text1"/>
                <w:sz w:val="18"/>
                <w:szCs w:val="18"/>
              </w:rPr>
            </w:pPr>
            <w:r w:rsidRPr="00AC4D12">
              <w:rPr>
                <w:rFonts w:ascii="Arial" w:hAnsi="Arial" w:cs="Arial"/>
                <w:b/>
                <w:color w:val="000000" w:themeColor="text1"/>
                <w:sz w:val="18"/>
                <w:szCs w:val="18"/>
              </w:rPr>
              <w:t>Total</w:t>
            </w:r>
          </w:p>
        </w:tc>
        <w:tc>
          <w:tcPr>
            <w:tcW w:w="1336" w:type="dxa"/>
            <w:tcBorders>
              <w:top w:val="single" w:sz="4" w:space="0" w:color="auto"/>
              <w:left w:val="nil"/>
              <w:bottom w:val="single" w:sz="4" w:space="0" w:color="auto"/>
              <w:right w:val="nil"/>
            </w:tcBorders>
            <w:shd w:val="clear" w:color="auto" w:fill="auto"/>
            <w:noWrap/>
            <w:vAlign w:val="bottom"/>
            <w:hideMark/>
          </w:tcPr>
          <w:p w14:paraId="11236994" w14:textId="3E622F72" w:rsidR="00FF0350" w:rsidRPr="00AC4D12" w:rsidRDefault="00FF0350" w:rsidP="00FF0350">
            <w:pPr>
              <w:jc w:val="right"/>
              <w:outlineLvl w:val="0"/>
              <w:rPr>
                <w:rFonts w:ascii="Arial" w:hAnsi="Arial" w:cs="Arial"/>
                <w:b/>
                <w:color w:val="000000" w:themeColor="text1"/>
                <w:sz w:val="18"/>
                <w:szCs w:val="18"/>
              </w:rPr>
            </w:pPr>
            <w:r>
              <w:rPr>
                <w:rFonts w:ascii="Arial" w:hAnsi="Arial" w:cs="Arial"/>
                <w:color w:val="000000"/>
                <w:sz w:val="18"/>
                <w:szCs w:val="18"/>
              </w:rPr>
              <w:t>$3,727,265</w:t>
            </w:r>
          </w:p>
        </w:tc>
        <w:tc>
          <w:tcPr>
            <w:tcW w:w="1056" w:type="dxa"/>
            <w:tcBorders>
              <w:top w:val="single" w:sz="4" w:space="0" w:color="auto"/>
              <w:left w:val="nil"/>
              <w:bottom w:val="single" w:sz="4" w:space="0" w:color="auto"/>
              <w:right w:val="nil"/>
            </w:tcBorders>
            <w:shd w:val="clear" w:color="auto" w:fill="auto"/>
            <w:noWrap/>
            <w:vAlign w:val="bottom"/>
            <w:hideMark/>
          </w:tcPr>
          <w:p w14:paraId="169602DF" w14:textId="57C2F7FD" w:rsidR="00FF0350" w:rsidRPr="00AC4D12" w:rsidRDefault="00FF0350" w:rsidP="00FF0350">
            <w:pPr>
              <w:jc w:val="right"/>
              <w:outlineLvl w:val="0"/>
              <w:rPr>
                <w:rFonts w:ascii="Arial" w:hAnsi="Arial" w:cs="Arial"/>
                <w:b/>
                <w:color w:val="000000" w:themeColor="text1"/>
                <w:sz w:val="18"/>
                <w:szCs w:val="18"/>
              </w:rPr>
            </w:pPr>
          </w:p>
        </w:tc>
        <w:tc>
          <w:tcPr>
            <w:tcW w:w="1356" w:type="dxa"/>
            <w:tcBorders>
              <w:top w:val="single" w:sz="4" w:space="0" w:color="auto"/>
              <w:left w:val="nil"/>
              <w:bottom w:val="single" w:sz="4" w:space="0" w:color="auto"/>
              <w:right w:val="nil"/>
            </w:tcBorders>
            <w:shd w:val="clear" w:color="auto" w:fill="auto"/>
            <w:noWrap/>
            <w:vAlign w:val="bottom"/>
            <w:hideMark/>
          </w:tcPr>
          <w:p w14:paraId="13F8F005" w14:textId="266BA3E4" w:rsidR="00FF0350" w:rsidRPr="00AC4D12" w:rsidRDefault="00FF0350" w:rsidP="00FF0350">
            <w:pPr>
              <w:jc w:val="right"/>
              <w:outlineLvl w:val="0"/>
              <w:rPr>
                <w:rFonts w:ascii="Arial" w:hAnsi="Arial" w:cs="Arial"/>
                <w:b/>
                <w:color w:val="000000" w:themeColor="text1"/>
                <w:sz w:val="18"/>
                <w:szCs w:val="18"/>
              </w:rPr>
            </w:pPr>
            <w:r>
              <w:rPr>
                <w:rFonts w:ascii="Arial" w:hAnsi="Arial" w:cs="Arial"/>
                <w:color w:val="000000"/>
                <w:sz w:val="18"/>
                <w:szCs w:val="18"/>
              </w:rPr>
              <w:t>$8,033</w:t>
            </w:r>
          </w:p>
        </w:tc>
      </w:tr>
    </w:tbl>
    <w:p w14:paraId="28138889" w14:textId="40942EF4" w:rsidR="001849F8" w:rsidRPr="00B37065" w:rsidRDefault="001849F8" w:rsidP="00170684">
      <w:pPr>
        <w:pStyle w:val="BodyText"/>
        <w:spacing w:before="240"/>
        <w:jc w:val="both"/>
        <w:rPr>
          <w:b/>
          <w:sz w:val="28"/>
          <w:szCs w:val="28"/>
        </w:rPr>
      </w:pPr>
      <w:r>
        <w:rPr>
          <w:b/>
          <w:sz w:val="28"/>
          <w:szCs w:val="28"/>
        </w:rPr>
        <w:t>SDC Schedule</w:t>
      </w:r>
    </w:p>
    <w:p w14:paraId="514A134F" w14:textId="2835D18B" w:rsidR="001849F8" w:rsidRDefault="001849F8">
      <w:pPr>
        <w:pStyle w:val="BodyText"/>
        <w:jc w:val="both"/>
      </w:pPr>
      <w:r w:rsidRPr="001849F8">
        <w:t xml:space="preserve">The </w:t>
      </w:r>
      <w:r w:rsidR="00170684">
        <w:t>SDCs for different size developments are scaled based on the size of the water meter (which is also an estimate of sewer system capacity needs.)</w:t>
      </w:r>
      <w:r w:rsidRPr="001849F8">
        <w:t xml:space="preserve"> </w:t>
      </w:r>
      <w:r w:rsidR="00170684">
        <w:t xml:space="preserve">The SDCs for each meter size </w:t>
      </w:r>
      <w:proofErr w:type="spellStart"/>
      <w:r w:rsidR="00170684">
        <w:t>ares</w:t>
      </w:r>
      <w:proofErr w:type="spellEnd"/>
      <w:r w:rsidRPr="001849F8">
        <w:t xml:space="preserve"> shown in Table </w:t>
      </w:r>
      <w:r w:rsidR="00E84526">
        <w:t>6</w:t>
      </w:r>
      <w:r w:rsidRPr="001849F8">
        <w:t>.</w:t>
      </w:r>
      <w:r w:rsidR="007F0624">
        <w:t xml:space="preserve">  </w:t>
      </w:r>
    </w:p>
    <w:tbl>
      <w:tblPr>
        <w:tblW w:w="7525" w:type="dxa"/>
        <w:tblLook w:val="04A0" w:firstRow="1" w:lastRow="0" w:firstColumn="1" w:lastColumn="0" w:noHBand="0" w:noVBand="1"/>
      </w:tblPr>
      <w:tblGrid>
        <w:gridCol w:w="1566"/>
        <w:gridCol w:w="1193"/>
        <w:gridCol w:w="967"/>
        <w:gridCol w:w="1237"/>
        <w:gridCol w:w="1369"/>
        <w:gridCol w:w="1193"/>
      </w:tblGrid>
      <w:tr w:rsidR="00AC4D12" w:rsidRPr="006F4C46" w14:paraId="664A713E" w14:textId="77777777" w:rsidTr="00AC4D12">
        <w:trPr>
          <w:trHeight w:val="297"/>
        </w:trPr>
        <w:tc>
          <w:tcPr>
            <w:tcW w:w="1566" w:type="dxa"/>
            <w:tcBorders>
              <w:top w:val="nil"/>
              <w:left w:val="nil"/>
              <w:bottom w:val="nil"/>
              <w:right w:val="nil"/>
            </w:tcBorders>
            <w:shd w:val="clear" w:color="auto" w:fill="auto"/>
            <w:noWrap/>
            <w:vAlign w:val="bottom"/>
            <w:hideMark/>
          </w:tcPr>
          <w:p w14:paraId="4979DA1A" w14:textId="77777777" w:rsidR="00AC4D12" w:rsidRPr="006F4C46" w:rsidRDefault="00AC4D12" w:rsidP="006F4C46">
            <w:pPr>
              <w:rPr>
                <w:rFonts w:ascii="Arial" w:hAnsi="Arial" w:cs="Arial"/>
                <w:b/>
                <w:bCs/>
                <w:color w:val="000000" w:themeColor="text1"/>
                <w:sz w:val="18"/>
                <w:szCs w:val="18"/>
              </w:rPr>
            </w:pPr>
            <w:r w:rsidRPr="006F4C46">
              <w:rPr>
                <w:rFonts w:ascii="Arial" w:hAnsi="Arial" w:cs="Arial"/>
                <w:b/>
                <w:bCs/>
                <w:color w:val="000000" w:themeColor="text1"/>
                <w:sz w:val="18"/>
                <w:szCs w:val="18"/>
              </w:rPr>
              <w:t>Table 6</w:t>
            </w:r>
          </w:p>
        </w:tc>
        <w:tc>
          <w:tcPr>
            <w:tcW w:w="1193" w:type="dxa"/>
            <w:tcBorders>
              <w:top w:val="nil"/>
              <w:left w:val="nil"/>
              <w:bottom w:val="nil"/>
              <w:right w:val="nil"/>
            </w:tcBorders>
            <w:shd w:val="clear" w:color="auto" w:fill="auto"/>
            <w:noWrap/>
            <w:vAlign w:val="bottom"/>
            <w:hideMark/>
          </w:tcPr>
          <w:p w14:paraId="62B0FC26" w14:textId="77777777" w:rsidR="00AC4D12" w:rsidRPr="006F4C46" w:rsidRDefault="00AC4D12" w:rsidP="006F4C46">
            <w:pPr>
              <w:rPr>
                <w:rFonts w:ascii="Arial" w:hAnsi="Arial" w:cs="Arial"/>
                <w:b/>
                <w:bCs/>
                <w:color w:val="000000" w:themeColor="text1"/>
                <w:sz w:val="18"/>
                <w:szCs w:val="18"/>
              </w:rPr>
            </w:pPr>
          </w:p>
        </w:tc>
        <w:tc>
          <w:tcPr>
            <w:tcW w:w="967" w:type="dxa"/>
            <w:tcBorders>
              <w:top w:val="nil"/>
              <w:left w:val="nil"/>
              <w:bottom w:val="nil"/>
              <w:right w:val="nil"/>
            </w:tcBorders>
            <w:shd w:val="clear" w:color="auto" w:fill="auto"/>
            <w:noWrap/>
            <w:vAlign w:val="bottom"/>
            <w:hideMark/>
          </w:tcPr>
          <w:p w14:paraId="3AC61C71" w14:textId="77777777" w:rsidR="00AC4D12" w:rsidRPr="006F4C46" w:rsidRDefault="00AC4D12" w:rsidP="006F4C46">
            <w:pPr>
              <w:rPr>
                <w:rFonts w:ascii="Times New Roman" w:hAnsi="Times New Roman"/>
                <w:color w:val="000000" w:themeColor="text1"/>
                <w:sz w:val="20"/>
              </w:rPr>
            </w:pPr>
          </w:p>
        </w:tc>
        <w:tc>
          <w:tcPr>
            <w:tcW w:w="1237" w:type="dxa"/>
            <w:tcBorders>
              <w:top w:val="nil"/>
              <w:left w:val="nil"/>
              <w:bottom w:val="nil"/>
              <w:right w:val="nil"/>
            </w:tcBorders>
            <w:shd w:val="clear" w:color="auto" w:fill="auto"/>
            <w:noWrap/>
            <w:vAlign w:val="bottom"/>
            <w:hideMark/>
          </w:tcPr>
          <w:p w14:paraId="5D3DDE56" w14:textId="77777777" w:rsidR="00AC4D12" w:rsidRPr="006F4C46" w:rsidRDefault="00AC4D12" w:rsidP="006F4C46">
            <w:pPr>
              <w:rPr>
                <w:rFonts w:ascii="Times New Roman" w:hAnsi="Times New Roman"/>
                <w:color w:val="000000" w:themeColor="text1"/>
                <w:sz w:val="20"/>
              </w:rPr>
            </w:pPr>
          </w:p>
        </w:tc>
        <w:tc>
          <w:tcPr>
            <w:tcW w:w="1369" w:type="dxa"/>
            <w:tcBorders>
              <w:top w:val="nil"/>
              <w:left w:val="nil"/>
              <w:bottom w:val="nil"/>
              <w:right w:val="nil"/>
            </w:tcBorders>
            <w:shd w:val="clear" w:color="auto" w:fill="auto"/>
            <w:noWrap/>
            <w:vAlign w:val="bottom"/>
            <w:hideMark/>
          </w:tcPr>
          <w:p w14:paraId="2987676E" w14:textId="77777777" w:rsidR="00AC4D12" w:rsidRPr="006F4C46" w:rsidRDefault="00AC4D12" w:rsidP="006F4C46">
            <w:pPr>
              <w:rPr>
                <w:rFonts w:ascii="Times New Roman" w:hAnsi="Times New Roman"/>
                <w:color w:val="000000" w:themeColor="text1"/>
                <w:sz w:val="20"/>
              </w:rPr>
            </w:pPr>
          </w:p>
        </w:tc>
        <w:tc>
          <w:tcPr>
            <w:tcW w:w="1193" w:type="dxa"/>
            <w:tcBorders>
              <w:top w:val="nil"/>
              <w:left w:val="nil"/>
              <w:bottom w:val="nil"/>
              <w:right w:val="nil"/>
            </w:tcBorders>
            <w:shd w:val="clear" w:color="auto" w:fill="auto"/>
            <w:noWrap/>
            <w:vAlign w:val="bottom"/>
            <w:hideMark/>
          </w:tcPr>
          <w:p w14:paraId="4A97A6CD" w14:textId="77777777" w:rsidR="00AC4D12" w:rsidRPr="006F4C46" w:rsidRDefault="00AC4D12" w:rsidP="006F4C46">
            <w:pPr>
              <w:rPr>
                <w:rFonts w:ascii="Times New Roman" w:hAnsi="Times New Roman"/>
                <w:color w:val="000000" w:themeColor="text1"/>
                <w:sz w:val="20"/>
              </w:rPr>
            </w:pPr>
          </w:p>
        </w:tc>
      </w:tr>
      <w:tr w:rsidR="00AC4D12" w:rsidRPr="006F4C46" w14:paraId="561B695A" w14:textId="77777777" w:rsidTr="00AC4D12">
        <w:trPr>
          <w:trHeight w:val="257"/>
        </w:trPr>
        <w:tc>
          <w:tcPr>
            <w:tcW w:w="2759" w:type="dxa"/>
            <w:gridSpan w:val="2"/>
            <w:tcBorders>
              <w:top w:val="nil"/>
              <w:left w:val="nil"/>
              <w:bottom w:val="nil"/>
              <w:right w:val="nil"/>
            </w:tcBorders>
            <w:shd w:val="clear" w:color="auto" w:fill="auto"/>
            <w:noWrap/>
            <w:vAlign w:val="bottom"/>
            <w:hideMark/>
          </w:tcPr>
          <w:p w14:paraId="71C1C52B" w14:textId="77777777" w:rsidR="00AC4D12" w:rsidRPr="006F4C46" w:rsidRDefault="00AC4D12" w:rsidP="006F4C46">
            <w:pPr>
              <w:rPr>
                <w:rFonts w:ascii="Arial" w:hAnsi="Arial" w:cs="Arial"/>
                <w:i/>
                <w:iCs/>
                <w:color w:val="000000" w:themeColor="text1"/>
                <w:sz w:val="18"/>
                <w:szCs w:val="18"/>
              </w:rPr>
            </w:pPr>
            <w:r w:rsidRPr="006F4C46">
              <w:rPr>
                <w:rFonts w:ascii="Arial" w:hAnsi="Arial" w:cs="Arial"/>
                <w:i/>
                <w:iCs/>
                <w:color w:val="000000" w:themeColor="text1"/>
                <w:sz w:val="18"/>
                <w:szCs w:val="18"/>
              </w:rPr>
              <w:t>Preliminary SDC Schedule</w:t>
            </w:r>
          </w:p>
        </w:tc>
        <w:tc>
          <w:tcPr>
            <w:tcW w:w="967" w:type="dxa"/>
            <w:tcBorders>
              <w:top w:val="nil"/>
              <w:left w:val="nil"/>
              <w:bottom w:val="nil"/>
              <w:right w:val="nil"/>
            </w:tcBorders>
            <w:shd w:val="clear" w:color="auto" w:fill="auto"/>
            <w:noWrap/>
            <w:vAlign w:val="bottom"/>
            <w:hideMark/>
          </w:tcPr>
          <w:p w14:paraId="31B5F6FC" w14:textId="77777777" w:rsidR="00AC4D12" w:rsidRPr="006F4C46" w:rsidRDefault="00AC4D12" w:rsidP="006F4C46">
            <w:pPr>
              <w:rPr>
                <w:rFonts w:ascii="Arial" w:hAnsi="Arial" w:cs="Arial"/>
                <w:i/>
                <w:iCs/>
                <w:color w:val="000000" w:themeColor="text1"/>
                <w:sz w:val="18"/>
                <w:szCs w:val="18"/>
              </w:rPr>
            </w:pPr>
          </w:p>
        </w:tc>
        <w:tc>
          <w:tcPr>
            <w:tcW w:w="1237" w:type="dxa"/>
            <w:tcBorders>
              <w:top w:val="nil"/>
              <w:left w:val="nil"/>
              <w:bottom w:val="nil"/>
              <w:right w:val="nil"/>
            </w:tcBorders>
            <w:shd w:val="clear" w:color="auto" w:fill="auto"/>
            <w:noWrap/>
            <w:vAlign w:val="bottom"/>
            <w:hideMark/>
          </w:tcPr>
          <w:p w14:paraId="2CD0FED6" w14:textId="77777777" w:rsidR="00AC4D12" w:rsidRPr="006F4C46" w:rsidRDefault="00AC4D12" w:rsidP="006F4C46">
            <w:pPr>
              <w:rPr>
                <w:rFonts w:ascii="Times New Roman" w:hAnsi="Times New Roman"/>
                <w:color w:val="000000" w:themeColor="text1"/>
                <w:sz w:val="20"/>
              </w:rPr>
            </w:pPr>
          </w:p>
        </w:tc>
        <w:tc>
          <w:tcPr>
            <w:tcW w:w="1369" w:type="dxa"/>
            <w:tcBorders>
              <w:top w:val="nil"/>
              <w:left w:val="nil"/>
              <w:bottom w:val="nil"/>
              <w:right w:val="nil"/>
            </w:tcBorders>
            <w:shd w:val="clear" w:color="auto" w:fill="auto"/>
            <w:noWrap/>
            <w:vAlign w:val="bottom"/>
            <w:hideMark/>
          </w:tcPr>
          <w:p w14:paraId="68CD10AF" w14:textId="77777777" w:rsidR="00AC4D12" w:rsidRPr="006F4C46" w:rsidRDefault="00AC4D12" w:rsidP="006F4C46">
            <w:pPr>
              <w:rPr>
                <w:rFonts w:ascii="Times New Roman" w:hAnsi="Times New Roman"/>
                <w:color w:val="000000" w:themeColor="text1"/>
                <w:sz w:val="20"/>
              </w:rPr>
            </w:pPr>
          </w:p>
        </w:tc>
        <w:tc>
          <w:tcPr>
            <w:tcW w:w="1193" w:type="dxa"/>
            <w:tcBorders>
              <w:top w:val="nil"/>
              <w:left w:val="nil"/>
              <w:bottom w:val="nil"/>
              <w:right w:val="nil"/>
            </w:tcBorders>
            <w:shd w:val="clear" w:color="auto" w:fill="auto"/>
            <w:noWrap/>
            <w:vAlign w:val="bottom"/>
            <w:hideMark/>
          </w:tcPr>
          <w:p w14:paraId="1E060B94" w14:textId="77777777" w:rsidR="00AC4D12" w:rsidRPr="006F4C46" w:rsidRDefault="00AC4D12" w:rsidP="006F4C46">
            <w:pPr>
              <w:rPr>
                <w:rFonts w:ascii="Times New Roman" w:hAnsi="Times New Roman"/>
                <w:color w:val="000000" w:themeColor="text1"/>
                <w:sz w:val="20"/>
              </w:rPr>
            </w:pPr>
          </w:p>
        </w:tc>
      </w:tr>
      <w:tr w:rsidR="00AC4D12" w:rsidRPr="006F4C46" w14:paraId="5D45599E" w14:textId="77777777" w:rsidTr="00AC4D12">
        <w:trPr>
          <w:trHeight w:val="257"/>
        </w:trPr>
        <w:tc>
          <w:tcPr>
            <w:tcW w:w="1566" w:type="dxa"/>
            <w:tcBorders>
              <w:top w:val="single" w:sz="4" w:space="0" w:color="auto"/>
              <w:left w:val="nil"/>
              <w:bottom w:val="nil"/>
              <w:right w:val="nil"/>
            </w:tcBorders>
            <w:shd w:val="clear" w:color="auto" w:fill="auto"/>
            <w:noWrap/>
            <w:vAlign w:val="bottom"/>
            <w:hideMark/>
          </w:tcPr>
          <w:p w14:paraId="74A58C04" w14:textId="77777777" w:rsidR="00AC4D12" w:rsidRPr="006F4C46" w:rsidRDefault="00AC4D12"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1193" w:type="dxa"/>
            <w:tcBorders>
              <w:top w:val="single" w:sz="4" w:space="0" w:color="auto"/>
              <w:left w:val="nil"/>
              <w:bottom w:val="nil"/>
              <w:right w:val="nil"/>
            </w:tcBorders>
            <w:shd w:val="clear" w:color="auto" w:fill="auto"/>
            <w:noWrap/>
            <w:vAlign w:val="bottom"/>
            <w:hideMark/>
          </w:tcPr>
          <w:p w14:paraId="0DF96BFE" w14:textId="77777777" w:rsidR="00AC4D12" w:rsidRPr="006F4C46" w:rsidRDefault="00AC4D12"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967" w:type="dxa"/>
            <w:tcBorders>
              <w:top w:val="single" w:sz="4" w:space="0" w:color="auto"/>
              <w:left w:val="nil"/>
              <w:bottom w:val="nil"/>
              <w:right w:val="nil"/>
            </w:tcBorders>
            <w:shd w:val="clear" w:color="auto" w:fill="auto"/>
            <w:noWrap/>
            <w:vAlign w:val="bottom"/>
            <w:hideMark/>
          </w:tcPr>
          <w:p w14:paraId="34B0B089" w14:textId="77777777" w:rsidR="00AC4D12" w:rsidRPr="006F4C46" w:rsidRDefault="00AC4D12"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1237" w:type="dxa"/>
            <w:tcBorders>
              <w:top w:val="single" w:sz="4" w:space="0" w:color="auto"/>
              <w:left w:val="nil"/>
              <w:bottom w:val="nil"/>
              <w:right w:val="nil"/>
            </w:tcBorders>
            <w:shd w:val="clear" w:color="auto" w:fill="auto"/>
            <w:noWrap/>
            <w:vAlign w:val="bottom"/>
            <w:hideMark/>
          </w:tcPr>
          <w:p w14:paraId="7971599F" w14:textId="77777777" w:rsidR="00AC4D12" w:rsidRPr="006F4C46" w:rsidRDefault="00AC4D12" w:rsidP="006F4C46">
            <w:pPr>
              <w:rPr>
                <w:rFonts w:ascii="Arial" w:hAnsi="Arial" w:cs="Arial"/>
                <w:color w:val="000000" w:themeColor="text1"/>
                <w:sz w:val="18"/>
                <w:szCs w:val="18"/>
              </w:rPr>
            </w:pPr>
            <w:r w:rsidRPr="006F4C46">
              <w:rPr>
                <w:rFonts w:ascii="Arial" w:hAnsi="Arial" w:cs="Arial"/>
                <w:color w:val="000000" w:themeColor="text1"/>
                <w:sz w:val="18"/>
                <w:szCs w:val="18"/>
              </w:rPr>
              <w:t> </w:t>
            </w:r>
          </w:p>
        </w:tc>
        <w:tc>
          <w:tcPr>
            <w:tcW w:w="1369" w:type="dxa"/>
            <w:tcBorders>
              <w:top w:val="single" w:sz="4" w:space="0" w:color="auto"/>
              <w:left w:val="nil"/>
              <w:bottom w:val="nil"/>
              <w:right w:val="nil"/>
            </w:tcBorders>
            <w:shd w:val="clear" w:color="auto" w:fill="auto"/>
            <w:noWrap/>
            <w:vAlign w:val="bottom"/>
            <w:hideMark/>
          </w:tcPr>
          <w:p w14:paraId="0C883182" w14:textId="77777777" w:rsidR="00AC4D12" w:rsidRPr="006F4C46" w:rsidRDefault="00AC4D12"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Combined</w:t>
            </w:r>
          </w:p>
        </w:tc>
        <w:tc>
          <w:tcPr>
            <w:tcW w:w="1193" w:type="dxa"/>
            <w:tcBorders>
              <w:top w:val="single" w:sz="4" w:space="0" w:color="auto"/>
              <w:left w:val="nil"/>
              <w:bottom w:val="nil"/>
              <w:right w:val="nil"/>
            </w:tcBorders>
            <w:shd w:val="clear" w:color="auto" w:fill="auto"/>
            <w:noWrap/>
            <w:vAlign w:val="bottom"/>
            <w:hideMark/>
          </w:tcPr>
          <w:p w14:paraId="5FE00EBC" w14:textId="77777777" w:rsidR="00AC4D12" w:rsidRPr="006F4C46" w:rsidRDefault="00AC4D12"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Meter</w:t>
            </w:r>
          </w:p>
        </w:tc>
        <w:bookmarkStart w:id="6" w:name="_GoBack"/>
        <w:bookmarkEnd w:id="6"/>
      </w:tr>
      <w:tr w:rsidR="00AC4D12" w:rsidRPr="006F4C46" w14:paraId="721E7A3C" w14:textId="77777777" w:rsidTr="00AC4D12">
        <w:trPr>
          <w:trHeight w:val="300"/>
        </w:trPr>
        <w:tc>
          <w:tcPr>
            <w:tcW w:w="1566" w:type="dxa"/>
            <w:tcBorders>
              <w:top w:val="nil"/>
              <w:left w:val="nil"/>
              <w:bottom w:val="single" w:sz="8" w:space="0" w:color="auto"/>
              <w:right w:val="nil"/>
            </w:tcBorders>
            <w:shd w:val="clear" w:color="auto" w:fill="auto"/>
            <w:noWrap/>
            <w:vAlign w:val="bottom"/>
            <w:hideMark/>
          </w:tcPr>
          <w:p w14:paraId="488BE860" w14:textId="77777777" w:rsidR="00AC4D12" w:rsidRPr="006F4C46" w:rsidRDefault="00AC4D12" w:rsidP="006F4C46">
            <w:pPr>
              <w:rPr>
                <w:rFonts w:ascii="Arial" w:hAnsi="Arial" w:cs="Arial"/>
                <w:b/>
                <w:bCs/>
                <w:color w:val="000000" w:themeColor="text1"/>
                <w:sz w:val="18"/>
                <w:szCs w:val="18"/>
              </w:rPr>
            </w:pPr>
            <w:r w:rsidRPr="006F4C46">
              <w:rPr>
                <w:rFonts w:ascii="Arial" w:hAnsi="Arial" w:cs="Arial"/>
                <w:b/>
                <w:bCs/>
                <w:color w:val="000000" w:themeColor="text1"/>
                <w:sz w:val="18"/>
                <w:szCs w:val="18"/>
              </w:rPr>
              <w:t>Meter Size</w:t>
            </w:r>
          </w:p>
        </w:tc>
        <w:tc>
          <w:tcPr>
            <w:tcW w:w="1193" w:type="dxa"/>
            <w:tcBorders>
              <w:top w:val="nil"/>
              <w:left w:val="nil"/>
              <w:bottom w:val="single" w:sz="8" w:space="0" w:color="auto"/>
              <w:right w:val="nil"/>
            </w:tcBorders>
            <w:shd w:val="clear" w:color="auto" w:fill="auto"/>
            <w:noWrap/>
            <w:vAlign w:val="bottom"/>
            <w:hideMark/>
          </w:tcPr>
          <w:p w14:paraId="3A5E8CE2" w14:textId="77777777" w:rsidR="00AC4D12" w:rsidRPr="006F4C46" w:rsidRDefault="00AC4D12" w:rsidP="00FF0350">
            <w:pPr>
              <w:jc w:val="center"/>
              <w:rPr>
                <w:rFonts w:ascii="Arial" w:hAnsi="Arial" w:cs="Arial"/>
                <w:b/>
                <w:bCs/>
                <w:color w:val="000000" w:themeColor="text1"/>
                <w:sz w:val="18"/>
                <w:szCs w:val="18"/>
              </w:rPr>
            </w:pPr>
            <w:proofErr w:type="spellStart"/>
            <w:r w:rsidRPr="006F4C46">
              <w:rPr>
                <w:rFonts w:ascii="Arial" w:hAnsi="Arial" w:cs="Arial"/>
                <w:b/>
                <w:bCs/>
                <w:color w:val="000000" w:themeColor="text1"/>
                <w:sz w:val="18"/>
                <w:szCs w:val="18"/>
              </w:rPr>
              <w:t>SDCr</w:t>
            </w:r>
            <w:proofErr w:type="spellEnd"/>
          </w:p>
        </w:tc>
        <w:tc>
          <w:tcPr>
            <w:tcW w:w="967" w:type="dxa"/>
            <w:tcBorders>
              <w:top w:val="nil"/>
              <w:left w:val="nil"/>
              <w:bottom w:val="single" w:sz="8" w:space="0" w:color="auto"/>
              <w:right w:val="nil"/>
            </w:tcBorders>
            <w:shd w:val="clear" w:color="auto" w:fill="auto"/>
            <w:noWrap/>
            <w:vAlign w:val="bottom"/>
            <w:hideMark/>
          </w:tcPr>
          <w:p w14:paraId="584F840E" w14:textId="77777777" w:rsidR="00AC4D12" w:rsidRPr="006F4C46" w:rsidRDefault="00AC4D12" w:rsidP="00FF0350">
            <w:pPr>
              <w:jc w:val="center"/>
              <w:rPr>
                <w:rFonts w:ascii="Arial" w:hAnsi="Arial" w:cs="Arial"/>
                <w:b/>
                <w:bCs/>
                <w:color w:val="000000" w:themeColor="text1"/>
                <w:sz w:val="18"/>
                <w:szCs w:val="18"/>
              </w:rPr>
            </w:pPr>
            <w:proofErr w:type="spellStart"/>
            <w:r w:rsidRPr="006F4C46">
              <w:rPr>
                <w:rFonts w:ascii="Arial" w:hAnsi="Arial" w:cs="Arial"/>
                <w:b/>
                <w:bCs/>
                <w:color w:val="000000" w:themeColor="text1"/>
                <w:sz w:val="18"/>
                <w:szCs w:val="18"/>
              </w:rPr>
              <w:t>SDCi</w:t>
            </w:r>
            <w:proofErr w:type="spellEnd"/>
          </w:p>
        </w:tc>
        <w:tc>
          <w:tcPr>
            <w:tcW w:w="1237" w:type="dxa"/>
            <w:tcBorders>
              <w:top w:val="nil"/>
              <w:left w:val="nil"/>
              <w:bottom w:val="single" w:sz="8" w:space="0" w:color="auto"/>
              <w:right w:val="nil"/>
            </w:tcBorders>
            <w:shd w:val="clear" w:color="auto" w:fill="auto"/>
            <w:noWrap/>
            <w:vAlign w:val="bottom"/>
            <w:hideMark/>
          </w:tcPr>
          <w:p w14:paraId="7D89F1A3" w14:textId="77777777" w:rsidR="00AC4D12" w:rsidRPr="006F4C46" w:rsidRDefault="00AC4D12"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Compliance</w:t>
            </w:r>
          </w:p>
        </w:tc>
        <w:tc>
          <w:tcPr>
            <w:tcW w:w="1369" w:type="dxa"/>
            <w:tcBorders>
              <w:top w:val="nil"/>
              <w:left w:val="nil"/>
              <w:bottom w:val="single" w:sz="8" w:space="0" w:color="auto"/>
              <w:right w:val="nil"/>
            </w:tcBorders>
            <w:shd w:val="clear" w:color="auto" w:fill="auto"/>
            <w:noWrap/>
            <w:vAlign w:val="bottom"/>
            <w:hideMark/>
          </w:tcPr>
          <w:p w14:paraId="3007F147" w14:textId="77777777" w:rsidR="00AC4D12" w:rsidRPr="006F4C46" w:rsidRDefault="00AC4D12"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SDC</w:t>
            </w:r>
          </w:p>
        </w:tc>
        <w:tc>
          <w:tcPr>
            <w:tcW w:w="1193" w:type="dxa"/>
            <w:tcBorders>
              <w:top w:val="nil"/>
              <w:left w:val="nil"/>
              <w:bottom w:val="single" w:sz="8" w:space="0" w:color="auto"/>
              <w:right w:val="nil"/>
            </w:tcBorders>
            <w:shd w:val="clear" w:color="auto" w:fill="auto"/>
            <w:noWrap/>
            <w:vAlign w:val="bottom"/>
            <w:hideMark/>
          </w:tcPr>
          <w:p w14:paraId="3BBFFC65" w14:textId="77777777" w:rsidR="00AC4D12" w:rsidRPr="006F4C46" w:rsidRDefault="00AC4D12" w:rsidP="006F4C46">
            <w:pPr>
              <w:jc w:val="center"/>
              <w:rPr>
                <w:rFonts w:ascii="Arial" w:hAnsi="Arial" w:cs="Arial"/>
                <w:b/>
                <w:bCs/>
                <w:color w:val="000000" w:themeColor="text1"/>
                <w:sz w:val="18"/>
                <w:szCs w:val="18"/>
              </w:rPr>
            </w:pPr>
            <w:r w:rsidRPr="006F4C46">
              <w:rPr>
                <w:rFonts w:ascii="Arial" w:hAnsi="Arial" w:cs="Arial"/>
                <w:b/>
                <w:bCs/>
                <w:color w:val="000000" w:themeColor="text1"/>
                <w:sz w:val="18"/>
                <w:szCs w:val="18"/>
              </w:rPr>
              <w:t>Equivalent</w:t>
            </w:r>
            <w:r w:rsidRPr="006F4C46">
              <w:rPr>
                <w:rFonts w:ascii="Arial" w:hAnsi="Arial" w:cs="Arial"/>
                <w:b/>
                <w:bCs/>
                <w:color w:val="000000" w:themeColor="text1"/>
                <w:sz w:val="18"/>
                <w:szCs w:val="18"/>
                <w:vertAlign w:val="superscript"/>
              </w:rPr>
              <w:t>1</w:t>
            </w:r>
          </w:p>
        </w:tc>
      </w:tr>
      <w:tr w:rsidR="00FF0350" w:rsidRPr="006F4C46" w14:paraId="66E7FD7A" w14:textId="77777777" w:rsidTr="00FF0350">
        <w:trPr>
          <w:trHeight w:val="257"/>
        </w:trPr>
        <w:tc>
          <w:tcPr>
            <w:tcW w:w="1566" w:type="dxa"/>
            <w:tcBorders>
              <w:top w:val="nil"/>
              <w:left w:val="nil"/>
              <w:bottom w:val="nil"/>
              <w:right w:val="nil"/>
            </w:tcBorders>
            <w:shd w:val="clear" w:color="auto" w:fill="auto"/>
            <w:noWrap/>
            <w:vAlign w:val="bottom"/>
            <w:hideMark/>
          </w:tcPr>
          <w:p w14:paraId="053B3327"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3/4-inch</w:t>
            </w:r>
          </w:p>
        </w:tc>
        <w:tc>
          <w:tcPr>
            <w:tcW w:w="1193" w:type="dxa"/>
            <w:tcBorders>
              <w:top w:val="nil"/>
              <w:left w:val="nil"/>
              <w:bottom w:val="nil"/>
              <w:right w:val="nil"/>
            </w:tcBorders>
            <w:shd w:val="clear" w:color="auto" w:fill="auto"/>
            <w:noWrap/>
            <w:vAlign w:val="bottom"/>
            <w:hideMark/>
          </w:tcPr>
          <w:p w14:paraId="4B260D40" w14:textId="4FDC67F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$1,168</w:t>
            </w:r>
          </w:p>
        </w:tc>
        <w:tc>
          <w:tcPr>
            <w:tcW w:w="967" w:type="dxa"/>
            <w:tcBorders>
              <w:top w:val="nil"/>
              <w:left w:val="nil"/>
              <w:bottom w:val="nil"/>
              <w:right w:val="nil"/>
            </w:tcBorders>
            <w:shd w:val="clear" w:color="auto" w:fill="auto"/>
            <w:noWrap/>
            <w:vAlign w:val="bottom"/>
            <w:hideMark/>
          </w:tcPr>
          <w:p w14:paraId="0DD71EEE" w14:textId="20CB266D"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$6,661</w:t>
            </w:r>
          </w:p>
        </w:tc>
        <w:tc>
          <w:tcPr>
            <w:tcW w:w="1237" w:type="dxa"/>
            <w:tcBorders>
              <w:top w:val="nil"/>
              <w:left w:val="nil"/>
              <w:bottom w:val="nil"/>
              <w:right w:val="nil"/>
            </w:tcBorders>
            <w:shd w:val="clear" w:color="auto" w:fill="auto"/>
            <w:noWrap/>
            <w:vAlign w:val="bottom"/>
            <w:hideMark/>
          </w:tcPr>
          <w:p w14:paraId="10CA394D" w14:textId="59277E12"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$203</w:t>
            </w:r>
          </w:p>
        </w:tc>
        <w:tc>
          <w:tcPr>
            <w:tcW w:w="1369" w:type="dxa"/>
            <w:tcBorders>
              <w:top w:val="nil"/>
              <w:left w:val="nil"/>
              <w:bottom w:val="nil"/>
              <w:right w:val="nil"/>
            </w:tcBorders>
            <w:shd w:val="clear" w:color="auto" w:fill="auto"/>
            <w:noWrap/>
            <w:vAlign w:val="bottom"/>
            <w:hideMark/>
          </w:tcPr>
          <w:p w14:paraId="3904F239" w14:textId="6CEC72BB"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$8,033</w:t>
            </w:r>
          </w:p>
        </w:tc>
        <w:tc>
          <w:tcPr>
            <w:tcW w:w="1193" w:type="dxa"/>
            <w:tcBorders>
              <w:top w:val="nil"/>
              <w:left w:val="nil"/>
              <w:bottom w:val="nil"/>
              <w:right w:val="nil"/>
            </w:tcBorders>
            <w:shd w:val="clear" w:color="auto" w:fill="auto"/>
            <w:noWrap/>
            <w:vAlign w:val="bottom"/>
            <w:hideMark/>
          </w:tcPr>
          <w:p w14:paraId="0DCD57D7"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1.0</w:t>
            </w:r>
          </w:p>
        </w:tc>
      </w:tr>
      <w:tr w:rsidR="00FF0350" w:rsidRPr="006F4C46" w14:paraId="22340A8D" w14:textId="77777777" w:rsidTr="00FF0350">
        <w:trPr>
          <w:trHeight w:val="257"/>
        </w:trPr>
        <w:tc>
          <w:tcPr>
            <w:tcW w:w="1566" w:type="dxa"/>
            <w:tcBorders>
              <w:top w:val="nil"/>
              <w:left w:val="nil"/>
              <w:bottom w:val="nil"/>
              <w:right w:val="nil"/>
            </w:tcBorders>
            <w:shd w:val="clear" w:color="auto" w:fill="auto"/>
            <w:noWrap/>
            <w:vAlign w:val="bottom"/>
            <w:hideMark/>
          </w:tcPr>
          <w:p w14:paraId="6CF414BF"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1-inch</w:t>
            </w:r>
          </w:p>
        </w:tc>
        <w:tc>
          <w:tcPr>
            <w:tcW w:w="1193" w:type="dxa"/>
            <w:tcBorders>
              <w:top w:val="nil"/>
              <w:left w:val="nil"/>
              <w:bottom w:val="nil"/>
              <w:right w:val="nil"/>
            </w:tcBorders>
            <w:shd w:val="clear" w:color="auto" w:fill="auto"/>
            <w:noWrap/>
            <w:vAlign w:val="bottom"/>
            <w:hideMark/>
          </w:tcPr>
          <w:p w14:paraId="6ACCE503" w14:textId="2FB32E3F"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$1,947</w:t>
            </w:r>
          </w:p>
        </w:tc>
        <w:tc>
          <w:tcPr>
            <w:tcW w:w="967" w:type="dxa"/>
            <w:tcBorders>
              <w:top w:val="nil"/>
              <w:left w:val="nil"/>
              <w:bottom w:val="nil"/>
              <w:right w:val="nil"/>
            </w:tcBorders>
            <w:shd w:val="clear" w:color="auto" w:fill="auto"/>
            <w:noWrap/>
            <w:vAlign w:val="bottom"/>
            <w:hideMark/>
          </w:tcPr>
          <w:p w14:paraId="517A8738" w14:textId="4B454665"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$11,102</w:t>
            </w:r>
          </w:p>
        </w:tc>
        <w:tc>
          <w:tcPr>
            <w:tcW w:w="1237" w:type="dxa"/>
            <w:tcBorders>
              <w:top w:val="nil"/>
              <w:left w:val="nil"/>
              <w:bottom w:val="nil"/>
              <w:right w:val="nil"/>
            </w:tcBorders>
            <w:shd w:val="clear" w:color="auto" w:fill="auto"/>
            <w:noWrap/>
            <w:vAlign w:val="bottom"/>
            <w:hideMark/>
          </w:tcPr>
          <w:p w14:paraId="64A2552B" w14:textId="1491CBE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$339</w:t>
            </w:r>
          </w:p>
        </w:tc>
        <w:tc>
          <w:tcPr>
            <w:tcW w:w="1369" w:type="dxa"/>
            <w:tcBorders>
              <w:top w:val="nil"/>
              <w:left w:val="nil"/>
              <w:bottom w:val="nil"/>
              <w:right w:val="nil"/>
            </w:tcBorders>
            <w:shd w:val="clear" w:color="auto" w:fill="auto"/>
            <w:noWrap/>
            <w:vAlign w:val="bottom"/>
            <w:hideMark/>
          </w:tcPr>
          <w:p w14:paraId="42AA4D0E" w14:textId="3BFDCEA7"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$13,388</w:t>
            </w:r>
          </w:p>
        </w:tc>
        <w:tc>
          <w:tcPr>
            <w:tcW w:w="1193" w:type="dxa"/>
            <w:tcBorders>
              <w:top w:val="nil"/>
              <w:left w:val="nil"/>
              <w:bottom w:val="nil"/>
              <w:right w:val="nil"/>
            </w:tcBorders>
            <w:shd w:val="clear" w:color="auto" w:fill="auto"/>
            <w:noWrap/>
            <w:vAlign w:val="bottom"/>
            <w:hideMark/>
          </w:tcPr>
          <w:p w14:paraId="1A5AE449"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1.7</w:t>
            </w:r>
          </w:p>
        </w:tc>
      </w:tr>
      <w:tr w:rsidR="00FF0350" w:rsidRPr="006F4C46" w14:paraId="7426D5A6" w14:textId="77777777" w:rsidTr="00FF0350">
        <w:trPr>
          <w:trHeight w:val="257"/>
        </w:trPr>
        <w:tc>
          <w:tcPr>
            <w:tcW w:w="1566" w:type="dxa"/>
            <w:tcBorders>
              <w:top w:val="nil"/>
              <w:left w:val="nil"/>
              <w:bottom w:val="nil"/>
              <w:right w:val="nil"/>
            </w:tcBorders>
            <w:shd w:val="clear" w:color="auto" w:fill="auto"/>
            <w:noWrap/>
            <w:vAlign w:val="bottom"/>
            <w:hideMark/>
          </w:tcPr>
          <w:p w14:paraId="4185768C"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1 1/2-inch</w:t>
            </w:r>
          </w:p>
        </w:tc>
        <w:tc>
          <w:tcPr>
            <w:tcW w:w="1193" w:type="dxa"/>
            <w:tcBorders>
              <w:top w:val="nil"/>
              <w:left w:val="nil"/>
              <w:bottom w:val="nil"/>
              <w:right w:val="nil"/>
            </w:tcBorders>
            <w:shd w:val="clear" w:color="auto" w:fill="auto"/>
            <w:noWrap/>
            <w:vAlign w:val="bottom"/>
            <w:hideMark/>
          </w:tcPr>
          <w:p w14:paraId="3821C2F5" w14:textId="45290345"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$3,895</w:t>
            </w:r>
          </w:p>
        </w:tc>
        <w:tc>
          <w:tcPr>
            <w:tcW w:w="967" w:type="dxa"/>
            <w:tcBorders>
              <w:top w:val="nil"/>
              <w:left w:val="nil"/>
              <w:bottom w:val="nil"/>
              <w:right w:val="nil"/>
            </w:tcBorders>
            <w:shd w:val="clear" w:color="auto" w:fill="auto"/>
            <w:noWrap/>
            <w:vAlign w:val="bottom"/>
            <w:hideMark/>
          </w:tcPr>
          <w:p w14:paraId="024112A4" w14:textId="3323D81B"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$22,204</w:t>
            </w:r>
          </w:p>
        </w:tc>
        <w:tc>
          <w:tcPr>
            <w:tcW w:w="1237" w:type="dxa"/>
            <w:tcBorders>
              <w:top w:val="nil"/>
              <w:left w:val="nil"/>
              <w:bottom w:val="nil"/>
              <w:right w:val="nil"/>
            </w:tcBorders>
            <w:shd w:val="clear" w:color="auto" w:fill="auto"/>
            <w:noWrap/>
            <w:vAlign w:val="bottom"/>
            <w:hideMark/>
          </w:tcPr>
          <w:p w14:paraId="1574C4B2" w14:textId="3362CED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$678</w:t>
            </w:r>
          </w:p>
        </w:tc>
        <w:tc>
          <w:tcPr>
            <w:tcW w:w="1369" w:type="dxa"/>
            <w:tcBorders>
              <w:top w:val="nil"/>
              <w:left w:val="nil"/>
              <w:bottom w:val="nil"/>
              <w:right w:val="nil"/>
            </w:tcBorders>
            <w:shd w:val="clear" w:color="auto" w:fill="auto"/>
            <w:noWrap/>
            <w:vAlign w:val="bottom"/>
            <w:hideMark/>
          </w:tcPr>
          <w:p w14:paraId="3BAA8D19" w14:textId="225F2A09"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$26,776</w:t>
            </w:r>
          </w:p>
        </w:tc>
        <w:tc>
          <w:tcPr>
            <w:tcW w:w="1193" w:type="dxa"/>
            <w:tcBorders>
              <w:top w:val="nil"/>
              <w:left w:val="nil"/>
              <w:bottom w:val="nil"/>
              <w:right w:val="nil"/>
            </w:tcBorders>
            <w:shd w:val="clear" w:color="auto" w:fill="auto"/>
            <w:noWrap/>
            <w:vAlign w:val="bottom"/>
            <w:hideMark/>
          </w:tcPr>
          <w:p w14:paraId="18F3DDEA"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3.3</w:t>
            </w:r>
          </w:p>
        </w:tc>
      </w:tr>
      <w:tr w:rsidR="00FF0350" w:rsidRPr="006F4C46" w14:paraId="0ED131C5" w14:textId="77777777" w:rsidTr="00FF0350">
        <w:trPr>
          <w:trHeight w:val="257"/>
        </w:trPr>
        <w:tc>
          <w:tcPr>
            <w:tcW w:w="1566" w:type="dxa"/>
            <w:tcBorders>
              <w:top w:val="nil"/>
              <w:left w:val="nil"/>
              <w:bottom w:val="nil"/>
              <w:right w:val="nil"/>
            </w:tcBorders>
            <w:shd w:val="clear" w:color="auto" w:fill="auto"/>
            <w:noWrap/>
            <w:vAlign w:val="bottom"/>
            <w:hideMark/>
          </w:tcPr>
          <w:p w14:paraId="10DF3F6A"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2-inch</w:t>
            </w:r>
          </w:p>
        </w:tc>
        <w:tc>
          <w:tcPr>
            <w:tcW w:w="1193" w:type="dxa"/>
            <w:tcBorders>
              <w:top w:val="nil"/>
              <w:left w:val="nil"/>
              <w:bottom w:val="nil"/>
              <w:right w:val="nil"/>
            </w:tcBorders>
            <w:shd w:val="clear" w:color="auto" w:fill="auto"/>
            <w:noWrap/>
            <w:vAlign w:val="bottom"/>
            <w:hideMark/>
          </w:tcPr>
          <w:p w14:paraId="5F906D98" w14:textId="1E88903A"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$6,232</w:t>
            </w:r>
          </w:p>
        </w:tc>
        <w:tc>
          <w:tcPr>
            <w:tcW w:w="967" w:type="dxa"/>
            <w:tcBorders>
              <w:top w:val="nil"/>
              <w:left w:val="nil"/>
              <w:bottom w:val="nil"/>
              <w:right w:val="nil"/>
            </w:tcBorders>
            <w:shd w:val="clear" w:color="auto" w:fill="auto"/>
            <w:noWrap/>
            <w:vAlign w:val="bottom"/>
            <w:hideMark/>
          </w:tcPr>
          <w:p w14:paraId="42C940E0" w14:textId="5CD1D34D"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$35,526</w:t>
            </w:r>
          </w:p>
        </w:tc>
        <w:tc>
          <w:tcPr>
            <w:tcW w:w="1237" w:type="dxa"/>
            <w:tcBorders>
              <w:top w:val="nil"/>
              <w:left w:val="nil"/>
              <w:bottom w:val="nil"/>
              <w:right w:val="nil"/>
            </w:tcBorders>
            <w:shd w:val="clear" w:color="auto" w:fill="auto"/>
            <w:noWrap/>
            <w:vAlign w:val="bottom"/>
            <w:hideMark/>
          </w:tcPr>
          <w:p w14:paraId="3DCAB75A" w14:textId="4C55F029"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$1,085</w:t>
            </w:r>
          </w:p>
        </w:tc>
        <w:tc>
          <w:tcPr>
            <w:tcW w:w="1369" w:type="dxa"/>
            <w:tcBorders>
              <w:top w:val="nil"/>
              <w:left w:val="nil"/>
              <w:bottom w:val="nil"/>
              <w:right w:val="nil"/>
            </w:tcBorders>
            <w:shd w:val="clear" w:color="auto" w:fill="auto"/>
            <w:noWrap/>
            <w:vAlign w:val="bottom"/>
            <w:hideMark/>
          </w:tcPr>
          <w:p w14:paraId="24E8D9B4" w14:textId="33CBBB3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$42,842</w:t>
            </w:r>
          </w:p>
        </w:tc>
        <w:tc>
          <w:tcPr>
            <w:tcW w:w="1193" w:type="dxa"/>
            <w:tcBorders>
              <w:top w:val="nil"/>
              <w:left w:val="nil"/>
              <w:bottom w:val="nil"/>
              <w:right w:val="nil"/>
            </w:tcBorders>
            <w:shd w:val="clear" w:color="auto" w:fill="auto"/>
            <w:noWrap/>
            <w:vAlign w:val="bottom"/>
            <w:hideMark/>
          </w:tcPr>
          <w:p w14:paraId="13F49859"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5.3</w:t>
            </w:r>
          </w:p>
        </w:tc>
      </w:tr>
      <w:tr w:rsidR="00FF0350" w:rsidRPr="006F4C46" w14:paraId="2B34EFA4" w14:textId="77777777" w:rsidTr="00FF0350">
        <w:trPr>
          <w:trHeight w:val="257"/>
        </w:trPr>
        <w:tc>
          <w:tcPr>
            <w:tcW w:w="1566" w:type="dxa"/>
            <w:tcBorders>
              <w:top w:val="nil"/>
              <w:left w:val="nil"/>
              <w:bottom w:val="nil"/>
              <w:right w:val="nil"/>
            </w:tcBorders>
            <w:shd w:val="clear" w:color="auto" w:fill="auto"/>
            <w:noWrap/>
            <w:vAlign w:val="bottom"/>
            <w:hideMark/>
          </w:tcPr>
          <w:p w14:paraId="0A6F09A4"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3-inch</w:t>
            </w:r>
          </w:p>
        </w:tc>
        <w:tc>
          <w:tcPr>
            <w:tcW w:w="1193" w:type="dxa"/>
            <w:tcBorders>
              <w:top w:val="nil"/>
              <w:left w:val="nil"/>
              <w:bottom w:val="nil"/>
              <w:right w:val="nil"/>
            </w:tcBorders>
            <w:shd w:val="clear" w:color="auto" w:fill="auto"/>
            <w:noWrap/>
            <w:vAlign w:val="bottom"/>
            <w:hideMark/>
          </w:tcPr>
          <w:p w14:paraId="60D19F75" w14:textId="268A79EB"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$13,632</w:t>
            </w:r>
          </w:p>
        </w:tc>
        <w:tc>
          <w:tcPr>
            <w:tcW w:w="967" w:type="dxa"/>
            <w:tcBorders>
              <w:top w:val="nil"/>
              <w:left w:val="nil"/>
              <w:bottom w:val="nil"/>
              <w:right w:val="nil"/>
            </w:tcBorders>
            <w:shd w:val="clear" w:color="auto" w:fill="auto"/>
            <w:noWrap/>
            <w:vAlign w:val="bottom"/>
            <w:hideMark/>
          </w:tcPr>
          <w:p w14:paraId="64DF4543" w14:textId="61D1A64A"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$77,713</w:t>
            </w:r>
          </w:p>
        </w:tc>
        <w:tc>
          <w:tcPr>
            <w:tcW w:w="1237" w:type="dxa"/>
            <w:tcBorders>
              <w:top w:val="nil"/>
              <w:left w:val="nil"/>
              <w:bottom w:val="nil"/>
              <w:right w:val="nil"/>
            </w:tcBorders>
            <w:shd w:val="clear" w:color="auto" w:fill="auto"/>
            <w:noWrap/>
            <w:vAlign w:val="bottom"/>
            <w:hideMark/>
          </w:tcPr>
          <w:p w14:paraId="6470FB8C" w14:textId="72393322"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$2,373</w:t>
            </w:r>
          </w:p>
        </w:tc>
        <w:tc>
          <w:tcPr>
            <w:tcW w:w="1369" w:type="dxa"/>
            <w:tcBorders>
              <w:top w:val="nil"/>
              <w:left w:val="nil"/>
              <w:bottom w:val="nil"/>
              <w:right w:val="nil"/>
            </w:tcBorders>
            <w:shd w:val="clear" w:color="auto" w:fill="auto"/>
            <w:noWrap/>
            <w:vAlign w:val="bottom"/>
            <w:hideMark/>
          </w:tcPr>
          <w:p w14:paraId="5D6F0C63" w14:textId="12B30BED"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$93,718</w:t>
            </w:r>
          </w:p>
        </w:tc>
        <w:tc>
          <w:tcPr>
            <w:tcW w:w="1193" w:type="dxa"/>
            <w:tcBorders>
              <w:top w:val="nil"/>
              <w:left w:val="nil"/>
              <w:bottom w:val="nil"/>
              <w:right w:val="nil"/>
            </w:tcBorders>
            <w:shd w:val="clear" w:color="auto" w:fill="auto"/>
            <w:noWrap/>
            <w:vAlign w:val="bottom"/>
            <w:hideMark/>
          </w:tcPr>
          <w:p w14:paraId="083B2CB3"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11.7</w:t>
            </w:r>
          </w:p>
        </w:tc>
      </w:tr>
      <w:tr w:rsidR="00FF0350" w:rsidRPr="006F4C46" w14:paraId="2C1C76A9" w14:textId="77777777" w:rsidTr="00FF0350">
        <w:trPr>
          <w:trHeight w:val="257"/>
        </w:trPr>
        <w:tc>
          <w:tcPr>
            <w:tcW w:w="1566" w:type="dxa"/>
            <w:tcBorders>
              <w:top w:val="nil"/>
              <w:left w:val="nil"/>
              <w:bottom w:val="nil"/>
              <w:right w:val="nil"/>
            </w:tcBorders>
            <w:shd w:val="clear" w:color="auto" w:fill="auto"/>
            <w:noWrap/>
            <w:vAlign w:val="bottom"/>
            <w:hideMark/>
          </w:tcPr>
          <w:p w14:paraId="28DA26DE"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4-inch</w:t>
            </w:r>
          </w:p>
        </w:tc>
        <w:tc>
          <w:tcPr>
            <w:tcW w:w="1193" w:type="dxa"/>
            <w:tcBorders>
              <w:top w:val="nil"/>
              <w:left w:val="nil"/>
              <w:bottom w:val="nil"/>
              <w:right w:val="nil"/>
            </w:tcBorders>
            <w:shd w:val="clear" w:color="auto" w:fill="auto"/>
            <w:noWrap/>
            <w:vAlign w:val="bottom"/>
            <w:hideMark/>
          </w:tcPr>
          <w:p w14:paraId="5411E6A4" w14:textId="3A8B68A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$24,538</w:t>
            </w:r>
          </w:p>
        </w:tc>
        <w:tc>
          <w:tcPr>
            <w:tcW w:w="967" w:type="dxa"/>
            <w:tcBorders>
              <w:top w:val="nil"/>
              <w:left w:val="nil"/>
              <w:bottom w:val="nil"/>
              <w:right w:val="nil"/>
            </w:tcBorders>
            <w:shd w:val="clear" w:color="auto" w:fill="auto"/>
            <w:noWrap/>
            <w:vAlign w:val="bottom"/>
            <w:hideMark/>
          </w:tcPr>
          <w:p w14:paraId="4DCA132B" w14:textId="09527D24"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$139,883</w:t>
            </w:r>
          </w:p>
        </w:tc>
        <w:tc>
          <w:tcPr>
            <w:tcW w:w="1237" w:type="dxa"/>
            <w:tcBorders>
              <w:top w:val="nil"/>
              <w:left w:val="nil"/>
              <w:bottom w:val="nil"/>
              <w:right w:val="nil"/>
            </w:tcBorders>
            <w:shd w:val="clear" w:color="auto" w:fill="auto"/>
            <w:noWrap/>
            <w:vAlign w:val="bottom"/>
            <w:hideMark/>
          </w:tcPr>
          <w:p w14:paraId="5C4E408C" w14:textId="18D992B6"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$4,271</w:t>
            </w:r>
          </w:p>
        </w:tc>
        <w:tc>
          <w:tcPr>
            <w:tcW w:w="1369" w:type="dxa"/>
            <w:tcBorders>
              <w:top w:val="nil"/>
              <w:left w:val="nil"/>
              <w:bottom w:val="nil"/>
              <w:right w:val="nil"/>
            </w:tcBorders>
            <w:shd w:val="clear" w:color="auto" w:fill="auto"/>
            <w:noWrap/>
            <w:vAlign w:val="bottom"/>
            <w:hideMark/>
          </w:tcPr>
          <w:p w14:paraId="410F123A" w14:textId="7CCEC6C3"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$168,692</w:t>
            </w:r>
          </w:p>
        </w:tc>
        <w:tc>
          <w:tcPr>
            <w:tcW w:w="1193" w:type="dxa"/>
            <w:tcBorders>
              <w:top w:val="nil"/>
              <w:left w:val="nil"/>
              <w:bottom w:val="nil"/>
              <w:right w:val="nil"/>
            </w:tcBorders>
            <w:shd w:val="clear" w:color="auto" w:fill="auto"/>
            <w:noWrap/>
            <w:vAlign w:val="bottom"/>
            <w:hideMark/>
          </w:tcPr>
          <w:p w14:paraId="7A3B0CF7"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21.0</w:t>
            </w:r>
          </w:p>
        </w:tc>
      </w:tr>
      <w:tr w:rsidR="00FF0350" w:rsidRPr="006F4C46" w14:paraId="30BCD311" w14:textId="77777777" w:rsidTr="00FF0350">
        <w:trPr>
          <w:trHeight w:val="257"/>
        </w:trPr>
        <w:tc>
          <w:tcPr>
            <w:tcW w:w="1566" w:type="dxa"/>
            <w:tcBorders>
              <w:top w:val="nil"/>
              <w:left w:val="nil"/>
              <w:bottom w:val="nil"/>
              <w:right w:val="nil"/>
            </w:tcBorders>
            <w:shd w:val="clear" w:color="auto" w:fill="auto"/>
            <w:noWrap/>
            <w:vAlign w:val="bottom"/>
            <w:hideMark/>
          </w:tcPr>
          <w:p w14:paraId="5B00F2CE"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6-inch</w:t>
            </w:r>
          </w:p>
        </w:tc>
        <w:tc>
          <w:tcPr>
            <w:tcW w:w="1193" w:type="dxa"/>
            <w:tcBorders>
              <w:top w:val="nil"/>
              <w:left w:val="nil"/>
              <w:bottom w:val="nil"/>
              <w:right w:val="nil"/>
            </w:tcBorders>
            <w:shd w:val="clear" w:color="auto" w:fill="auto"/>
            <w:noWrap/>
            <w:vAlign w:val="bottom"/>
            <w:hideMark/>
          </w:tcPr>
          <w:p w14:paraId="4E6FB8A1" w14:textId="1D65AE20"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$50,634</w:t>
            </w:r>
          </w:p>
        </w:tc>
        <w:tc>
          <w:tcPr>
            <w:tcW w:w="967" w:type="dxa"/>
            <w:tcBorders>
              <w:top w:val="nil"/>
              <w:left w:val="nil"/>
              <w:bottom w:val="nil"/>
              <w:right w:val="nil"/>
            </w:tcBorders>
            <w:shd w:val="clear" w:color="auto" w:fill="auto"/>
            <w:noWrap/>
            <w:vAlign w:val="bottom"/>
            <w:hideMark/>
          </w:tcPr>
          <w:p w14:paraId="2F0AD2A1" w14:textId="05266EDE"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$288,647</w:t>
            </w:r>
          </w:p>
        </w:tc>
        <w:tc>
          <w:tcPr>
            <w:tcW w:w="1237" w:type="dxa"/>
            <w:tcBorders>
              <w:top w:val="nil"/>
              <w:left w:val="nil"/>
              <w:bottom w:val="nil"/>
              <w:right w:val="nil"/>
            </w:tcBorders>
            <w:shd w:val="clear" w:color="auto" w:fill="auto"/>
            <w:noWrap/>
            <w:vAlign w:val="bottom"/>
            <w:hideMark/>
          </w:tcPr>
          <w:p w14:paraId="4D3F31AB" w14:textId="485C05CA"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$8,813</w:t>
            </w:r>
          </w:p>
        </w:tc>
        <w:tc>
          <w:tcPr>
            <w:tcW w:w="1369" w:type="dxa"/>
            <w:tcBorders>
              <w:top w:val="nil"/>
              <w:left w:val="nil"/>
              <w:bottom w:val="nil"/>
              <w:right w:val="nil"/>
            </w:tcBorders>
            <w:shd w:val="clear" w:color="auto" w:fill="auto"/>
            <w:noWrap/>
            <w:vAlign w:val="bottom"/>
            <w:hideMark/>
          </w:tcPr>
          <w:p w14:paraId="0C615C65" w14:textId="5D4D153A"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$348,094</w:t>
            </w:r>
          </w:p>
        </w:tc>
        <w:tc>
          <w:tcPr>
            <w:tcW w:w="1193" w:type="dxa"/>
            <w:tcBorders>
              <w:top w:val="nil"/>
              <w:left w:val="nil"/>
              <w:bottom w:val="nil"/>
              <w:right w:val="nil"/>
            </w:tcBorders>
            <w:shd w:val="clear" w:color="auto" w:fill="auto"/>
            <w:noWrap/>
            <w:vAlign w:val="bottom"/>
            <w:hideMark/>
          </w:tcPr>
          <w:p w14:paraId="0E22380E"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43.3</w:t>
            </w:r>
          </w:p>
        </w:tc>
      </w:tr>
      <w:tr w:rsidR="00FF0350" w:rsidRPr="006F4C46" w14:paraId="5B63FF4F" w14:textId="77777777" w:rsidTr="00FF0350">
        <w:trPr>
          <w:trHeight w:val="257"/>
        </w:trPr>
        <w:tc>
          <w:tcPr>
            <w:tcW w:w="1566" w:type="dxa"/>
            <w:tcBorders>
              <w:top w:val="nil"/>
              <w:left w:val="nil"/>
              <w:bottom w:val="nil"/>
              <w:right w:val="nil"/>
            </w:tcBorders>
            <w:shd w:val="clear" w:color="auto" w:fill="auto"/>
            <w:noWrap/>
            <w:vAlign w:val="bottom"/>
            <w:hideMark/>
          </w:tcPr>
          <w:p w14:paraId="56FA0DFD" w14:textId="77777777" w:rsidR="00FF0350" w:rsidRPr="006F4C46" w:rsidRDefault="00FF0350" w:rsidP="00FF0350">
            <w:pPr>
              <w:rPr>
                <w:rFonts w:ascii="Arial" w:hAnsi="Arial" w:cs="Arial"/>
                <w:color w:val="000000" w:themeColor="text1"/>
                <w:sz w:val="18"/>
                <w:szCs w:val="18"/>
              </w:rPr>
            </w:pPr>
            <w:r w:rsidRPr="006F4C46">
              <w:rPr>
                <w:rFonts w:ascii="Arial" w:hAnsi="Arial" w:cs="Arial"/>
                <w:color w:val="000000" w:themeColor="text1"/>
                <w:sz w:val="18"/>
                <w:szCs w:val="18"/>
              </w:rPr>
              <w:t>8-inch</w:t>
            </w:r>
          </w:p>
        </w:tc>
        <w:tc>
          <w:tcPr>
            <w:tcW w:w="1193" w:type="dxa"/>
            <w:tcBorders>
              <w:top w:val="nil"/>
              <w:left w:val="nil"/>
              <w:bottom w:val="nil"/>
              <w:right w:val="nil"/>
            </w:tcBorders>
            <w:shd w:val="clear" w:color="auto" w:fill="auto"/>
            <w:noWrap/>
            <w:vAlign w:val="bottom"/>
            <w:hideMark/>
          </w:tcPr>
          <w:p w14:paraId="51F78271" w14:textId="7DE38901"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$62,318</w:t>
            </w:r>
          </w:p>
        </w:tc>
        <w:tc>
          <w:tcPr>
            <w:tcW w:w="967" w:type="dxa"/>
            <w:tcBorders>
              <w:top w:val="nil"/>
              <w:left w:val="nil"/>
              <w:bottom w:val="nil"/>
              <w:right w:val="nil"/>
            </w:tcBorders>
            <w:shd w:val="clear" w:color="auto" w:fill="auto"/>
            <w:noWrap/>
            <w:vAlign w:val="bottom"/>
            <w:hideMark/>
          </w:tcPr>
          <w:p w14:paraId="1F541998" w14:textId="6E83DDF8"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$355,258</w:t>
            </w:r>
          </w:p>
        </w:tc>
        <w:tc>
          <w:tcPr>
            <w:tcW w:w="1237" w:type="dxa"/>
            <w:tcBorders>
              <w:top w:val="nil"/>
              <w:left w:val="nil"/>
              <w:bottom w:val="nil"/>
              <w:right w:val="nil"/>
            </w:tcBorders>
            <w:shd w:val="clear" w:color="auto" w:fill="auto"/>
            <w:noWrap/>
            <w:vAlign w:val="bottom"/>
            <w:hideMark/>
          </w:tcPr>
          <w:p w14:paraId="7866AF50" w14:textId="713C1C8F"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$10,847</w:t>
            </w:r>
          </w:p>
        </w:tc>
        <w:tc>
          <w:tcPr>
            <w:tcW w:w="1369" w:type="dxa"/>
            <w:tcBorders>
              <w:top w:val="nil"/>
              <w:left w:val="nil"/>
              <w:bottom w:val="nil"/>
              <w:right w:val="nil"/>
            </w:tcBorders>
            <w:shd w:val="clear" w:color="auto" w:fill="auto"/>
            <w:noWrap/>
            <w:vAlign w:val="bottom"/>
            <w:hideMark/>
          </w:tcPr>
          <w:p w14:paraId="16607AC3" w14:textId="3CAA5FD0" w:rsidR="00FF0350" w:rsidRPr="00FF0350" w:rsidRDefault="00FF0350" w:rsidP="00FF0350">
            <w:pPr>
              <w:jc w:val="right"/>
              <w:rPr>
                <w:rFonts w:ascii="Arial" w:hAnsi="Arial" w:cs="Arial"/>
                <w:color w:val="000000" w:themeColor="text1"/>
                <w:sz w:val="18"/>
                <w:szCs w:val="18"/>
              </w:rPr>
            </w:pPr>
            <w:r w:rsidRPr="00FF0350">
              <w:rPr>
                <w:rFonts w:ascii="Arial" w:hAnsi="Arial" w:cs="Arial"/>
                <w:color w:val="000000"/>
                <w:sz w:val="18"/>
                <w:szCs w:val="18"/>
              </w:rPr>
              <w:t>$428,423</w:t>
            </w:r>
          </w:p>
        </w:tc>
        <w:tc>
          <w:tcPr>
            <w:tcW w:w="1193" w:type="dxa"/>
            <w:tcBorders>
              <w:top w:val="nil"/>
              <w:left w:val="nil"/>
              <w:bottom w:val="nil"/>
              <w:right w:val="nil"/>
            </w:tcBorders>
            <w:shd w:val="clear" w:color="auto" w:fill="auto"/>
            <w:noWrap/>
            <w:vAlign w:val="bottom"/>
            <w:hideMark/>
          </w:tcPr>
          <w:p w14:paraId="0E52577F" w14:textId="77777777" w:rsidR="00FF0350" w:rsidRPr="006F4C46" w:rsidRDefault="00FF0350" w:rsidP="00FF0350">
            <w:pPr>
              <w:jc w:val="center"/>
              <w:rPr>
                <w:rFonts w:ascii="Arial" w:hAnsi="Arial" w:cs="Arial"/>
                <w:color w:val="000000" w:themeColor="text1"/>
                <w:sz w:val="18"/>
                <w:szCs w:val="18"/>
              </w:rPr>
            </w:pPr>
            <w:r w:rsidRPr="006F4C46">
              <w:rPr>
                <w:rFonts w:ascii="Arial" w:hAnsi="Arial" w:cs="Arial"/>
                <w:color w:val="000000" w:themeColor="text1"/>
                <w:sz w:val="18"/>
                <w:szCs w:val="18"/>
              </w:rPr>
              <w:t>53.3</w:t>
            </w:r>
          </w:p>
        </w:tc>
      </w:tr>
      <w:tr w:rsidR="00AC4D12" w:rsidRPr="006F4C46" w14:paraId="57F35072" w14:textId="77777777" w:rsidTr="00AC4D12">
        <w:trPr>
          <w:trHeight w:val="279"/>
        </w:trPr>
        <w:tc>
          <w:tcPr>
            <w:tcW w:w="3726" w:type="dxa"/>
            <w:gridSpan w:val="3"/>
            <w:tcBorders>
              <w:top w:val="nil"/>
              <w:left w:val="nil"/>
              <w:bottom w:val="nil"/>
              <w:right w:val="nil"/>
            </w:tcBorders>
            <w:shd w:val="clear" w:color="auto" w:fill="auto"/>
            <w:noWrap/>
            <w:vAlign w:val="bottom"/>
            <w:hideMark/>
          </w:tcPr>
          <w:p w14:paraId="3F685040" w14:textId="07B2C4D7" w:rsidR="00AC4D12" w:rsidRPr="006F4C46" w:rsidRDefault="00AC4D12" w:rsidP="006F4C46">
            <w:pPr>
              <w:rPr>
                <w:rFonts w:ascii="Arial" w:hAnsi="Arial" w:cs="Arial"/>
                <w:color w:val="000000" w:themeColor="text1"/>
                <w:sz w:val="18"/>
                <w:szCs w:val="18"/>
              </w:rPr>
            </w:pPr>
            <w:r w:rsidRPr="006F4C46">
              <w:rPr>
                <w:rFonts w:ascii="Arial" w:hAnsi="Arial" w:cs="Arial"/>
                <w:color w:val="000000" w:themeColor="text1"/>
                <w:sz w:val="18"/>
                <w:szCs w:val="18"/>
                <w:vertAlign w:val="superscript"/>
              </w:rPr>
              <w:t>1</w:t>
            </w:r>
            <w:r w:rsidRPr="006F4C46">
              <w:rPr>
                <w:rFonts w:ascii="Arial" w:hAnsi="Arial" w:cs="Arial"/>
                <w:color w:val="000000" w:themeColor="text1"/>
                <w:sz w:val="18"/>
                <w:szCs w:val="18"/>
              </w:rPr>
              <w:t>AWWA Standards (Turbine Meters)</w:t>
            </w:r>
          </w:p>
        </w:tc>
        <w:tc>
          <w:tcPr>
            <w:tcW w:w="1237" w:type="dxa"/>
            <w:tcBorders>
              <w:top w:val="nil"/>
              <w:left w:val="nil"/>
              <w:bottom w:val="nil"/>
              <w:right w:val="nil"/>
            </w:tcBorders>
            <w:shd w:val="clear" w:color="auto" w:fill="auto"/>
            <w:noWrap/>
            <w:vAlign w:val="bottom"/>
            <w:hideMark/>
          </w:tcPr>
          <w:p w14:paraId="1FDB6D03" w14:textId="77777777" w:rsidR="00AC4D12" w:rsidRPr="006F4C46" w:rsidRDefault="00AC4D12" w:rsidP="006F4C46">
            <w:pPr>
              <w:rPr>
                <w:rFonts w:ascii="Times New Roman" w:hAnsi="Times New Roman"/>
                <w:color w:val="000000" w:themeColor="text1"/>
                <w:sz w:val="20"/>
              </w:rPr>
            </w:pPr>
          </w:p>
        </w:tc>
        <w:tc>
          <w:tcPr>
            <w:tcW w:w="1369" w:type="dxa"/>
            <w:tcBorders>
              <w:top w:val="nil"/>
              <w:left w:val="nil"/>
              <w:bottom w:val="nil"/>
              <w:right w:val="nil"/>
            </w:tcBorders>
            <w:shd w:val="clear" w:color="auto" w:fill="auto"/>
            <w:noWrap/>
            <w:vAlign w:val="bottom"/>
            <w:hideMark/>
          </w:tcPr>
          <w:p w14:paraId="3FF1C3B0" w14:textId="77777777" w:rsidR="00AC4D12" w:rsidRPr="006F4C46" w:rsidRDefault="00AC4D12" w:rsidP="006F4C46">
            <w:pPr>
              <w:rPr>
                <w:rFonts w:ascii="Times New Roman" w:hAnsi="Times New Roman"/>
                <w:color w:val="000000" w:themeColor="text1"/>
                <w:sz w:val="20"/>
              </w:rPr>
            </w:pPr>
          </w:p>
        </w:tc>
        <w:tc>
          <w:tcPr>
            <w:tcW w:w="1193" w:type="dxa"/>
            <w:tcBorders>
              <w:top w:val="nil"/>
              <w:left w:val="nil"/>
              <w:bottom w:val="nil"/>
              <w:right w:val="nil"/>
            </w:tcBorders>
            <w:shd w:val="clear" w:color="auto" w:fill="auto"/>
            <w:noWrap/>
            <w:vAlign w:val="bottom"/>
            <w:hideMark/>
          </w:tcPr>
          <w:p w14:paraId="38ED083C" w14:textId="77777777" w:rsidR="00AC4D12" w:rsidRPr="006F4C46" w:rsidRDefault="00AC4D12" w:rsidP="006F4C46">
            <w:pPr>
              <w:jc w:val="right"/>
              <w:rPr>
                <w:rFonts w:ascii="Times New Roman" w:hAnsi="Times New Roman"/>
                <w:color w:val="000000" w:themeColor="text1"/>
                <w:sz w:val="20"/>
              </w:rPr>
            </w:pPr>
          </w:p>
        </w:tc>
      </w:tr>
    </w:tbl>
    <w:p w14:paraId="34FF81C4" w14:textId="77777777" w:rsidR="006F4C46" w:rsidRDefault="006F4C46" w:rsidP="00170684">
      <w:pPr>
        <w:pStyle w:val="BodyText"/>
        <w:jc w:val="both"/>
      </w:pPr>
    </w:p>
    <w:sectPr w:rsidR="006F4C46" w:rsidSect="00896BFF">
      <w:headerReference w:type="first" r:id="rId17"/>
      <w:pgSz w:w="12240" w:h="15840" w:code="1"/>
      <w:pgMar w:top="1440" w:right="1440" w:bottom="1440" w:left="1800" w:header="720" w:footer="720" w:gutter="0"/>
      <w:paperSrc w:first="15" w:other="15"/>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6"/>
    </wne:keymap>
    <wne:keymap wne:kcmPrimary="0443">
      <wne:acd wne:acdName="acd2"/>
    </wne:keymap>
    <wne:keymap wne:kcmPrimary="0553">
      <wne:acd wne:acdName="acd14"/>
    </wne:keymap>
    <wne:keymap wne:kcmPrimary="0642">
      <wne:acd wne:acdName="acd15"/>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EIA" wne:acdName="acd0" wne:fciIndexBasedOn="0065"/>
    <wne:acd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 wne:argValue="AgBCAHUAbABsAGUAdAAsAGIAdQA=" wne:acdName="acd15" wne:fciIndexBasedOn="0065"/>
    <wne:acd wne:argValue="AgBUAGEAYgBsAGUAIABCAG8AZAB5ACwAdABiAA==" wne:acdName="acd1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C14F" w14:textId="77777777" w:rsidR="0023722D" w:rsidRDefault="0023722D">
      <w:r>
        <w:separator/>
      </w:r>
    </w:p>
  </w:endnote>
  <w:endnote w:type="continuationSeparator" w:id="0">
    <w:p w14:paraId="567264AF" w14:textId="77777777" w:rsidR="0023722D" w:rsidRDefault="0023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CFC5" w14:textId="77777777" w:rsidR="00D9683B" w:rsidRDefault="00D9683B" w:rsidP="006F4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8249B1A" w14:textId="77777777" w:rsidR="00D9683B" w:rsidRDefault="00D9683B" w:rsidP="006F4C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23B9" w14:textId="77777777" w:rsidR="00D9683B" w:rsidRDefault="00D9683B" w:rsidP="006F4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D8190B" w14:textId="77777777" w:rsidR="00D9683B" w:rsidRDefault="00D9683B" w:rsidP="006F4C4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2654D" w14:textId="77777777" w:rsidR="00D9683B" w:rsidRDefault="00D9683B">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3D9E" w14:textId="77777777" w:rsidR="00D9683B" w:rsidRDefault="00D9683B" w:rsidP="003E00A1">
    <w:pPr>
      <w:pStyle w:val="Footer"/>
      <w:pBdr>
        <w:bottom w:val="single" w:sz="12" w:space="1" w:color="auto"/>
      </w:pBdr>
    </w:pPr>
  </w:p>
  <w:p w14:paraId="6A95ABBD" w14:textId="0DA3E4A5" w:rsidR="00D9683B" w:rsidRPr="003E00A1" w:rsidRDefault="00D9683B">
    <w:pPr>
      <w:pStyle w:val="Footer"/>
    </w:pPr>
    <w:r>
      <w:t>carlton wastewater sdc methodology</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FF0350">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B2454" w14:textId="77777777" w:rsidR="00D9683B" w:rsidRDefault="00D9683B">
    <w:pPr>
      <w:pStyle w:val="Footer"/>
      <w:pBdr>
        <w:bottom w:val="single" w:sz="12" w:space="1" w:color="auto"/>
      </w:pBdr>
    </w:pPr>
  </w:p>
  <w:p w14:paraId="352D88A0" w14:textId="6320BFDB" w:rsidR="00D9683B" w:rsidRDefault="00D9683B">
    <w:pPr>
      <w:pStyle w:val="Footer"/>
    </w:pPr>
    <w:r>
      <w:t>carlton wastewater sdc methodology</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FF0350">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72A2A" w14:textId="77777777" w:rsidR="0023722D" w:rsidRDefault="0023722D">
      <w:r>
        <w:separator/>
      </w:r>
    </w:p>
  </w:footnote>
  <w:footnote w:type="continuationSeparator" w:id="0">
    <w:p w14:paraId="56BD742E" w14:textId="77777777" w:rsidR="0023722D" w:rsidRDefault="0023722D">
      <w:r>
        <w:continuationSeparator/>
      </w:r>
    </w:p>
  </w:footnote>
  <w:footnote w:id="1">
    <w:p w14:paraId="47A52C8E" w14:textId="77777777" w:rsidR="00D9683B" w:rsidRDefault="00D9683B" w:rsidP="00820DA8">
      <w:pPr>
        <w:pStyle w:val="FootnoteText"/>
      </w:pPr>
      <w:r>
        <w:rPr>
          <w:rStyle w:val="FootnoteReference"/>
        </w:rPr>
        <w:footnoteRef/>
      </w:r>
      <w:r>
        <w:t xml:space="preserve"> 2017 Oregon Revised Statutes 223.304 (8)(b)(A)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07CD" w14:textId="77777777" w:rsidR="00D9683B" w:rsidRDefault="00D9683B" w:rsidP="006F4C46">
    <w:pPr>
      <w:pStyle w:val="Header"/>
      <w:pBdr>
        <w:bottom w:val="none" w:sz="0" w:space="0" w:color="auto"/>
      </w:pBdr>
    </w:pPr>
  </w:p>
  <w:p w14:paraId="3C2F293A" w14:textId="77777777" w:rsidR="00D9683B" w:rsidRDefault="00D968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C30AF" w14:textId="77777777" w:rsidR="00D9683B" w:rsidRDefault="00D96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3B17" w14:textId="77777777" w:rsidR="00D9683B" w:rsidRDefault="00D9683B" w:rsidP="00592A6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190"/>
    <w:multiLevelType w:val="singleLevel"/>
    <w:tmpl w:val="E7484E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A6CBB"/>
    <w:multiLevelType w:val="hybridMultilevel"/>
    <w:tmpl w:val="1020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60C5A"/>
    <w:multiLevelType w:val="hybridMultilevel"/>
    <w:tmpl w:val="A1DAD57A"/>
    <w:lvl w:ilvl="0" w:tplc="6082D63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B75CF"/>
    <w:multiLevelType w:val="hybridMultilevel"/>
    <w:tmpl w:val="8A4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B6AC0"/>
    <w:multiLevelType w:val="singleLevel"/>
    <w:tmpl w:val="40DA7A3E"/>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50D82324"/>
    <w:multiLevelType w:val="singleLevel"/>
    <w:tmpl w:val="E7484E6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D778B3"/>
    <w:multiLevelType w:val="hybridMultilevel"/>
    <w:tmpl w:val="90F6CCA2"/>
    <w:lvl w:ilvl="0" w:tplc="759C72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505A3"/>
    <w:multiLevelType w:val="singleLevel"/>
    <w:tmpl w:val="BAD87F12"/>
    <w:lvl w:ilvl="0">
      <w:start w:val="1"/>
      <w:numFmt w:val="decimal"/>
      <w:pStyle w:val="Heading2"/>
      <w:lvlText w:val="%1.0"/>
      <w:lvlJc w:val="left"/>
      <w:pPr>
        <w:tabs>
          <w:tab w:val="num" w:pos="1080"/>
        </w:tabs>
        <w:ind w:left="720" w:hanging="360"/>
      </w:pPr>
      <w:rPr>
        <w:rFonts w:ascii="Arial Narrow" w:hAnsi="Arial Narrow" w:hint="default"/>
        <w:b/>
        <w:i w:val="0"/>
        <w:sz w:val="36"/>
      </w:rPr>
    </w:lvl>
  </w:abstractNum>
  <w:abstractNum w:abstractNumId="8" w15:restartNumberingAfterBreak="0">
    <w:nsid w:val="678F1594"/>
    <w:multiLevelType w:val="singleLevel"/>
    <w:tmpl w:val="E7484E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C54B3E"/>
    <w:multiLevelType w:val="singleLevel"/>
    <w:tmpl w:val="40DA7A3E"/>
    <w:lvl w:ilvl="0">
      <w:start w:val="1"/>
      <w:numFmt w:val="bullet"/>
      <w:lvlText w:val=""/>
      <w:lvlJc w:val="left"/>
      <w:pPr>
        <w:tabs>
          <w:tab w:val="num" w:pos="360"/>
        </w:tabs>
        <w:ind w:left="360" w:hanging="360"/>
      </w:pPr>
      <w:rPr>
        <w:rFonts w:ascii="Symbol" w:hAnsi="Symbol" w:hint="default"/>
        <w:sz w:val="20"/>
      </w:rPr>
    </w:lvl>
  </w:abstractNum>
  <w:num w:numId="1">
    <w:abstractNumId w:val="7"/>
  </w:num>
  <w:num w:numId="2">
    <w:abstractNumId w:val="8"/>
  </w:num>
  <w:num w:numId="3">
    <w:abstractNumId w:val="0"/>
  </w:num>
  <w:num w:numId="4">
    <w:abstractNumId w:val="5"/>
  </w:num>
  <w:num w:numId="5">
    <w:abstractNumId w:val="6"/>
  </w:num>
  <w:num w:numId="6">
    <w:abstractNumId w:val="9"/>
  </w:num>
  <w:num w:numId="7">
    <w:abstractNumId w:val="4"/>
  </w:num>
  <w:num w:numId="8">
    <w:abstractNumId w:val="3"/>
  </w:num>
  <w:num w:numId="9">
    <w:abstractNumId w:val="1"/>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onsecutiveHyphenLimit w:val="2"/>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D9"/>
    <w:rsid w:val="00013EC9"/>
    <w:rsid w:val="000221A8"/>
    <w:rsid w:val="00023539"/>
    <w:rsid w:val="00026CB3"/>
    <w:rsid w:val="00031FD5"/>
    <w:rsid w:val="0003599C"/>
    <w:rsid w:val="00036C40"/>
    <w:rsid w:val="0005754A"/>
    <w:rsid w:val="000636B3"/>
    <w:rsid w:val="00074ACF"/>
    <w:rsid w:val="0007553F"/>
    <w:rsid w:val="00081814"/>
    <w:rsid w:val="00081C68"/>
    <w:rsid w:val="00082A30"/>
    <w:rsid w:val="00086A70"/>
    <w:rsid w:val="000B5F8F"/>
    <w:rsid w:val="000C7A89"/>
    <w:rsid w:val="000F5C48"/>
    <w:rsid w:val="001026D9"/>
    <w:rsid w:val="00105BF6"/>
    <w:rsid w:val="00113DE9"/>
    <w:rsid w:val="00114FB7"/>
    <w:rsid w:val="00121D6C"/>
    <w:rsid w:val="00132C23"/>
    <w:rsid w:val="001466DD"/>
    <w:rsid w:val="001504F0"/>
    <w:rsid w:val="00152025"/>
    <w:rsid w:val="00152D10"/>
    <w:rsid w:val="00170684"/>
    <w:rsid w:val="001707F1"/>
    <w:rsid w:val="00180591"/>
    <w:rsid w:val="00181E12"/>
    <w:rsid w:val="00184792"/>
    <w:rsid w:val="001849F8"/>
    <w:rsid w:val="00184E41"/>
    <w:rsid w:val="00187367"/>
    <w:rsid w:val="00196225"/>
    <w:rsid w:val="001A12BF"/>
    <w:rsid w:val="001A3027"/>
    <w:rsid w:val="001B086A"/>
    <w:rsid w:val="001B14E5"/>
    <w:rsid w:val="001D3082"/>
    <w:rsid w:val="001D6603"/>
    <w:rsid w:val="001E58C2"/>
    <w:rsid w:val="001F1A8D"/>
    <w:rsid w:val="00231C50"/>
    <w:rsid w:val="00232416"/>
    <w:rsid w:val="0023722D"/>
    <w:rsid w:val="002553A2"/>
    <w:rsid w:val="00261B40"/>
    <w:rsid w:val="0027398C"/>
    <w:rsid w:val="002924BC"/>
    <w:rsid w:val="002942E8"/>
    <w:rsid w:val="002A320C"/>
    <w:rsid w:val="002A7BA7"/>
    <w:rsid w:val="002B1045"/>
    <w:rsid w:val="002B1D7F"/>
    <w:rsid w:val="002B7ED6"/>
    <w:rsid w:val="002C0926"/>
    <w:rsid w:val="002E3EA7"/>
    <w:rsid w:val="003058B8"/>
    <w:rsid w:val="00313995"/>
    <w:rsid w:val="00321362"/>
    <w:rsid w:val="003363B2"/>
    <w:rsid w:val="00340EE6"/>
    <w:rsid w:val="003418E1"/>
    <w:rsid w:val="003442E8"/>
    <w:rsid w:val="00344887"/>
    <w:rsid w:val="00350473"/>
    <w:rsid w:val="00356543"/>
    <w:rsid w:val="003839F9"/>
    <w:rsid w:val="003A4325"/>
    <w:rsid w:val="003A48E1"/>
    <w:rsid w:val="003E00A1"/>
    <w:rsid w:val="003E2EF4"/>
    <w:rsid w:val="003E6019"/>
    <w:rsid w:val="00403D81"/>
    <w:rsid w:val="004220EB"/>
    <w:rsid w:val="0042279F"/>
    <w:rsid w:val="004343A1"/>
    <w:rsid w:val="004479CB"/>
    <w:rsid w:val="00462358"/>
    <w:rsid w:val="00476AC6"/>
    <w:rsid w:val="00484C2C"/>
    <w:rsid w:val="00494BB9"/>
    <w:rsid w:val="004A0193"/>
    <w:rsid w:val="004A1EE4"/>
    <w:rsid w:val="004F696E"/>
    <w:rsid w:val="004F76A3"/>
    <w:rsid w:val="0050517E"/>
    <w:rsid w:val="00513CCF"/>
    <w:rsid w:val="00522BBD"/>
    <w:rsid w:val="00524023"/>
    <w:rsid w:val="00524445"/>
    <w:rsid w:val="00526090"/>
    <w:rsid w:val="005309E8"/>
    <w:rsid w:val="005453C7"/>
    <w:rsid w:val="00557034"/>
    <w:rsid w:val="005643EF"/>
    <w:rsid w:val="00592A62"/>
    <w:rsid w:val="00595516"/>
    <w:rsid w:val="005A20BB"/>
    <w:rsid w:val="005A4E1C"/>
    <w:rsid w:val="005B6911"/>
    <w:rsid w:val="005C69FC"/>
    <w:rsid w:val="005D582C"/>
    <w:rsid w:val="005F1C25"/>
    <w:rsid w:val="00604609"/>
    <w:rsid w:val="006223B1"/>
    <w:rsid w:val="006247EE"/>
    <w:rsid w:val="006251E0"/>
    <w:rsid w:val="00636317"/>
    <w:rsid w:val="00655CF5"/>
    <w:rsid w:val="006619FD"/>
    <w:rsid w:val="006B2579"/>
    <w:rsid w:val="006C7D30"/>
    <w:rsid w:val="006C7F71"/>
    <w:rsid w:val="006E19FA"/>
    <w:rsid w:val="006F0BF7"/>
    <w:rsid w:val="006F4C46"/>
    <w:rsid w:val="0070592E"/>
    <w:rsid w:val="007125A6"/>
    <w:rsid w:val="0071302F"/>
    <w:rsid w:val="007168D6"/>
    <w:rsid w:val="00725AF9"/>
    <w:rsid w:val="00751847"/>
    <w:rsid w:val="00753B88"/>
    <w:rsid w:val="007631C4"/>
    <w:rsid w:val="0076797A"/>
    <w:rsid w:val="00767E28"/>
    <w:rsid w:val="00786F67"/>
    <w:rsid w:val="00797536"/>
    <w:rsid w:val="007B12DB"/>
    <w:rsid w:val="007C374C"/>
    <w:rsid w:val="007E6E6E"/>
    <w:rsid w:val="007F0624"/>
    <w:rsid w:val="007F3AB0"/>
    <w:rsid w:val="0080481D"/>
    <w:rsid w:val="00810FAE"/>
    <w:rsid w:val="00820874"/>
    <w:rsid w:val="00820DA8"/>
    <w:rsid w:val="00823DB4"/>
    <w:rsid w:val="0083295C"/>
    <w:rsid w:val="00834E5A"/>
    <w:rsid w:val="00836472"/>
    <w:rsid w:val="00837E3B"/>
    <w:rsid w:val="008447F2"/>
    <w:rsid w:val="00844D21"/>
    <w:rsid w:val="00845A72"/>
    <w:rsid w:val="00853B42"/>
    <w:rsid w:val="008660BA"/>
    <w:rsid w:val="00896BFF"/>
    <w:rsid w:val="008978E7"/>
    <w:rsid w:val="008A23A1"/>
    <w:rsid w:val="008A3608"/>
    <w:rsid w:val="008B4AAE"/>
    <w:rsid w:val="008D5754"/>
    <w:rsid w:val="008E78A0"/>
    <w:rsid w:val="008F0FF3"/>
    <w:rsid w:val="009058FC"/>
    <w:rsid w:val="009068EA"/>
    <w:rsid w:val="00923902"/>
    <w:rsid w:val="00932E5A"/>
    <w:rsid w:val="00943C85"/>
    <w:rsid w:val="0096600A"/>
    <w:rsid w:val="009738B7"/>
    <w:rsid w:val="00995C6B"/>
    <w:rsid w:val="009A5710"/>
    <w:rsid w:val="009A6BC0"/>
    <w:rsid w:val="009C3578"/>
    <w:rsid w:val="009D0392"/>
    <w:rsid w:val="009F36C5"/>
    <w:rsid w:val="009F39A1"/>
    <w:rsid w:val="009F7530"/>
    <w:rsid w:val="00A04DC8"/>
    <w:rsid w:val="00A210F6"/>
    <w:rsid w:val="00A30CAF"/>
    <w:rsid w:val="00A50745"/>
    <w:rsid w:val="00A56300"/>
    <w:rsid w:val="00A5769B"/>
    <w:rsid w:val="00A85108"/>
    <w:rsid w:val="00A85A5F"/>
    <w:rsid w:val="00A91392"/>
    <w:rsid w:val="00A933F6"/>
    <w:rsid w:val="00A9446A"/>
    <w:rsid w:val="00A975D5"/>
    <w:rsid w:val="00AA7047"/>
    <w:rsid w:val="00AC4D12"/>
    <w:rsid w:val="00AD0D2B"/>
    <w:rsid w:val="00AD601C"/>
    <w:rsid w:val="00AE2A06"/>
    <w:rsid w:val="00AF3465"/>
    <w:rsid w:val="00AF50C6"/>
    <w:rsid w:val="00B07FFB"/>
    <w:rsid w:val="00B16F48"/>
    <w:rsid w:val="00B222CA"/>
    <w:rsid w:val="00B37065"/>
    <w:rsid w:val="00B53733"/>
    <w:rsid w:val="00B55C79"/>
    <w:rsid w:val="00B566DB"/>
    <w:rsid w:val="00B74E7E"/>
    <w:rsid w:val="00B77A3E"/>
    <w:rsid w:val="00B77C3B"/>
    <w:rsid w:val="00B8017F"/>
    <w:rsid w:val="00B847DA"/>
    <w:rsid w:val="00B87A85"/>
    <w:rsid w:val="00BA79DB"/>
    <w:rsid w:val="00BB0BA3"/>
    <w:rsid w:val="00BB29FB"/>
    <w:rsid w:val="00BB5095"/>
    <w:rsid w:val="00BC1DCB"/>
    <w:rsid w:val="00BD262F"/>
    <w:rsid w:val="00BD6953"/>
    <w:rsid w:val="00BE2B00"/>
    <w:rsid w:val="00BF37D5"/>
    <w:rsid w:val="00BF474A"/>
    <w:rsid w:val="00BF64D2"/>
    <w:rsid w:val="00C13136"/>
    <w:rsid w:val="00C15680"/>
    <w:rsid w:val="00C40FD9"/>
    <w:rsid w:val="00C45F3F"/>
    <w:rsid w:val="00C47B73"/>
    <w:rsid w:val="00C75B27"/>
    <w:rsid w:val="00CA3A08"/>
    <w:rsid w:val="00CB7847"/>
    <w:rsid w:val="00CE1242"/>
    <w:rsid w:val="00CE354C"/>
    <w:rsid w:val="00CE6F0B"/>
    <w:rsid w:val="00CF1E40"/>
    <w:rsid w:val="00D01D80"/>
    <w:rsid w:val="00D14EBE"/>
    <w:rsid w:val="00D357A5"/>
    <w:rsid w:val="00D42D62"/>
    <w:rsid w:val="00D632B6"/>
    <w:rsid w:val="00D7406C"/>
    <w:rsid w:val="00D85985"/>
    <w:rsid w:val="00D90A38"/>
    <w:rsid w:val="00D9286E"/>
    <w:rsid w:val="00D934F5"/>
    <w:rsid w:val="00D9683B"/>
    <w:rsid w:val="00DA06CC"/>
    <w:rsid w:val="00DA1FF9"/>
    <w:rsid w:val="00DA51C8"/>
    <w:rsid w:val="00DA6835"/>
    <w:rsid w:val="00DA7134"/>
    <w:rsid w:val="00DB69A0"/>
    <w:rsid w:val="00DC0BB1"/>
    <w:rsid w:val="00DC1FB1"/>
    <w:rsid w:val="00DC3571"/>
    <w:rsid w:val="00DC5F09"/>
    <w:rsid w:val="00DD65D3"/>
    <w:rsid w:val="00DE6E66"/>
    <w:rsid w:val="00DF5551"/>
    <w:rsid w:val="00DF6308"/>
    <w:rsid w:val="00E009BE"/>
    <w:rsid w:val="00E04353"/>
    <w:rsid w:val="00E12265"/>
    <w:rsid w:val="00E12F7D"/>
    <w:rsid w:val="00E248E2"/>
    <w:rsid w:val="00E32AFE"/>
    <w:rsid w:val="00E629AE"/>
    <w:rsid w:val="00E84526"/>
    <w:rsid w:val="00EA4E07"/>
    <w:rsid w:val="00ED27DF"/>
    <w:rsid w:val="00ED2A27"/>
    <w:rsid w:val="00EE5F7F"/>
    <w:rsid w:val="00EF3DE0"/>
    <w:rsid w:val="00EF782B"/>
    <w:rsid w:val="00F01B03"/>
    <w:rsid w:val="00F03A71"/>
    <w:rsid w:val="00F10433"/>
    <w:rsid w:val="00F2160B"/>
    <w:rsid w:val="00F35612"/>
    <w:rsid w:val="00F52272"/>
    <w:rsid w:val="00F57537"/>
    <w:rsid w:val="00F77DFF"/>
    <w:rsid w:val="00F9491F"/>
    <w:rsid w:val="00FA6648"/>
    <w:rsid w:val="00FC20ED"/>
    <w:rsid w:val="00FC2223"/>
    <w:rsid w:val="00FD7BD0"/>
    <w:rsid w:val="00FE6986"/>
    <w:rsid w:val="00FF0350"/>
    <w:rsid w:val="00FF1119"/>
    <w:rsid w:val="00FF2C62"/>
    <w:rsid w:val="00FF73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9F422"/>
  <w15:docId w15:val="{A66CD43E-E30B-458F-98DA-B25403CC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F7"/>
    <w:rPr>
      <w:rFonts w:ascii="Book Antiqua" w:hAnsi="Book Antiqua"/>
      <w:sz w:val="22"/>
    </w:rPr>
  </w:style>
  <w:style w:type="paragraph" w:styleId="Heading1">
    <w:name w:val="heading 1"/>
    <w:aliases w:val="h1"/>
    <w:basedOn w:val="Main-Head"/>
    <w:next w:val="BodyText"/>
    <w:qFormat/>
    <w:rsid w:val="006F0BF7"/>
    <w:pPr>
      <w:keepNext/>
      <w:pBdr>
        <w:bottom w:val="single" w:sz="6" w:space="2" w:color="auto"/>
      </w:pBdr>
      <w:spacing w:after="720"/>
      <w:outlineLvl w:val="0"/>
    </w:pPr>
    <w:rPr>
      <w:sz w:val="48"/>
    </w:rPr>
  </w:style>
  <w:style w:type="paragraph" w:styleId="Heading2">
    <w:name w:val="heading 2"/>
    <w:aliases w:val="h2"/>
    <w:basedOn w:val="Main-Head"/>
    <w:next w:val="BodyText"/>
    <w:qFormat/>
    <w:rsid w:val="006F0BF7"/>
    <w:pPr>
      <w:keepNext/>
      <w:keepLines/>
      <w:numPr>
        <w:numId w:val="1"/>
      </w:numPr>
      <w:spacing w:before="160" w:after="160"/>
      <w:outlineLvl w:val="1"/>
    </w:pPr>
    <w:rPr>
      <w:sz w:val="36"/>
    </w:rPr>
  </w:style>
  <w:style w:type="paragraph" w:styleId="Heading3">
    <w:name w:val="heading 3"/>
    <w:aliases w:val="h3"/>
    <w:basedOn w:val="Main-Head"/>
    <w:next w:val="BodyText"/>
    <w:link w:val="Heading3Char"/>
    <w:qFormat/>
    <w:rsid w:val="006F0BF7"/>
    <w:pPr>
      <w:keepNext/>
      <w:keepLines/>
      <w:spacing w:before="80" w:after="80"/>
      <w:outlineLvl w:val="2"/>
    </w:pPr>
    <w:rPr>
      <w:rFonts w:ascii="Book Antiqua" w:hAnsi="Book Antiqua"/>
      <w:sz w:val="28"/>
    </w:rPr>
  </w:style>
  <w:style w:type="paragraph" w:styleId="Heading4">
    <w:name w:val="heading 4"/>
    <w:aliases w:val="h4,H4"/>
    <w:basedOn w:val="Main-Head"/>
    <w:next w:val="BodyText"/>
    <w:qFormat/>
    <w:rsid w:val="006F0BF7"/>
    <w:pPr>
      <w:keepNext/>
      <w:keepLines/>
      <w:spacing w:before="80" w:after="80"/>
      <w:outlineLvl w:val="3"/>
    </w:pPr>
    <w:rPr>
      <w:sz w:val="24"/>
    </w:rPr>
  </w:style>
  <w:style w:type="paragraph" w:styleId="Heading5">
    <w:name w:val="heading 5"/>
    <w:basedOn w:val="Main-Head"/>
    <w:next w:val="BodyText"/>
    <w:qFormat/>
    <w:rsid w:val="006F0BF7"/>
    <w:pPr>
      <w:outlineLvl w:val="4"/>
    </w:pPr>
    <w:rPr>
      <w:sz w:val="24"/>
    </w:rPr>
  </w:style>
  <w:style w:type="paragraph" w:styleId="Heading6">
    <w:name w:val="heading 6"/>
    <w:basedOn w:val="Main-Head"/>
    <w:next w:val="BodyText"/>
    <w:qFormat/>
    <w:rsid w:val="006F0BF7"/>
    <w:pPr>
      <w:outlineLvl w:val="5"/>
    </w:pPr>
    <w:rPr>
      <w:i/>
      <w:sz w:val="24"/>
    </w:rPr>
  </w:style>
  <w:style w:type="paragraph" w:styleId="Heading7">
    <w:name w:val="heading 7"/>
    <w:basedOn w:val="Normal"/>
    <w:next w:val="Normal"/>
    <w:qFormat/>
    <w:rsid w:val="006F0BF7"/>
    <w:pPr>
      <w:keepNext/>
      <w:outlineLvl w:val="6"/>
    </w:pPr>
    <w:rPr>
      <w:rFonts w:ascii="Arial Narrow" w:hAnsi="Arial Narrow"/>
      <w:b/>
      <w:snapToGrid w:val="0"/>
      <w:color w:val="000000"/>
      <w:sz w:val="16"/>
    </w:rPr>
  </w:style>
  <w:style w:type="paragraph" w:styleId="Heading8">
    <w:name w:val="heading 8"/>
    <w:basedOn w:val="Normal"/>
    <w:next w:val="Normal"/>
    <w:qFormat/>
    <w:rsid w:val="006F0BF7"/>
    <w:pPr>
      <w:keepNext/>
      <w:jc w:val="center"/>
      <w:outlineLvl w:val="7"/>
    </w:pPr>
    <w:rPr>
      <w:rFonts w:ascii="Arial" w:hAnsi="Arial"/>
      <w:b/>
      <w:snapToGrid w:val="0"/>
      <w:color w:val="000000"/>
      <w:sz w:val="18"/>
    </w:rPr>
  </w:style>
  <w:style w:type="paragraph" w:styleId="Heading9">
    <w:name w:val="heading 9"/>
    <w:basedOn w:val="Normal"/>
    <w:next w:val="Normal"/>
    <w:qFormat/>
    <w:rsid w:val="006F0BF7"/>
    <w:pPr>
      <w:keepNext/>
      <w:outlineLvl w:val="8"/>
    </w:pPr>
    <w:rPr>
      <w:rFonts w:ascii="Arial" w:hAnsi="Arial"/>
      <w:b/>
      <w:snapToGrid w:val="0"/>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next w:val="BodyText"/>
    <w:link w:val="Main-HeadChar"/>
    <w:rsid w:val="006F0BF7"/>
    <w:rPr>
      <w:rFonts w:ascii="Arial Narrow" w:hAnsi="Arial Narrow"/>
      <w:b/>
    </w:rPr>
  </w:style>
  <w:style w:type="paragraph" w:styleId="BodyText">
    <w:name w:val="Body Text"/>
    <w:aliases w:val="bt,BT,Durham Body Text,Test,o,Example,Outline-1,Body text,bt1,bt2,vv,SD-body,Body,Todd Text,b,bt3,Body Text Char1,BT Char,Outline-1 Char,Body text Char,vv Char,Test Char,o Char,Durham Body Text Char,Example Char,bt1 Char,bt2 Char,SD-body Char"/>
    <w:basedOn w:val="Normal"/>
    <w:link w:val="BodyTextChar"/>
    <w:rsid w:val="006F0BF7"/>
    <w:pPr>
      <w:spacing w:after="160"/>
    </w:pPr>
  </w:style>
  <w:style w:type="character" w:customStyle="1" w:styleId="Main-HeadChar">
    <w:name w:val="Main-Head Char"/>
    <w:basedOn w:val="DefaultParagraphFont"/>
    <w:link w:val="Main-Head"/>
    <w:rsid w:val="00F347CA"/>
    <w:rPr>
      <w:rFonts w:ascii="Arial Narrow" w:hAnsi="Arial Narrow"/>
      <w:b/>
      <w:sz w:val="22"/>
      <w:lang w:val="en-US" w:eastAsia="en-US" w:bidi="ar-SA"/>
    </w:rPr>
  </w:style>
  <w:style w:type="character" w:customStyle="1" w:styleId="Heading3Char">
    <w:name w:val="Heading 3 Char"/>
    <w:aliases w:val="h3 Char"/>
    <w:basedOn w:val="Main-HeadChar"/>
    <w:link w:val="Heading3"/>
    <w:rsid w:val="00F347CA"/>
    <w:rPr>
      <w:rFonts w:ascii="Book Antiqua" w:hAnsi="Book Antiqua"/>
      <w:b/>
      <w:sz w:val="28"/>
      <w:lang w:val="en-US" w:eastAsia="en-US" w:bidi="ar-SA"/>
    </w:rPr>
  </w:style>
  <w:style w:type="character" w:styleId="CommentReference">
    <w:name w:val="annotation reference"/>
    <w:basedOn w:val="DefaultParagraphFont"/>
    <w:semiHidden/>
    <w:rsid w:val="006F0BF7"/>
    <w:rPr>
      <w:rFonts w:ascii="Arial" w:hAnsi="Arial"/>
      <w:color w:val="FF0000"/>
      <w:position w:val="6"/>
      <w:sz w:val="20"/>
    </w:rPr>
  </w:style>
  <w:style w:type="paragraph" w:styleId="CommentText">
    <w:name w:val="annotation text"/>
    <w:basedOn w:val="Normal"/>
    <w:link w:val="CommentTextChar"/>
    <w:semiHidden/>
    <w:rsid w:val="006F0BF7"/>
    <w:pPr>
      <w:spacing w:before="120"/>
    </w:pPr>
    <w:rPr>
      <w:rFonts w:ascii="Arial" w:hAnsi="Arial"/>
      <w:sz w:val="20"/>
    </w:rPr>
  </w:style>
  <w:style w:type="paragraph" w:styleId="TOC3">
    <w:name w:val="toc 3"/>
    <w:basedOn w:val="TOC2"/>
    <w:semiHidden/>
    <w:rsid w:val="006F0BF7"/>
    <w:pPr>
      <w:tabs>
        <w:tab w:val="left" w:pos="1728"/>
      </w:tabs>
      <w:ind w:left="1440"/>
    </w:pPr>
  </w:style>
  <w:style w:type="paragraph" w:styleId="TOC2">
    <w:name w:val="toc 2"/>
    <w:basedOn w:val="TOC1"/>
    <w:next w:val="TOC3"/>
    <w:semiHidden/>
    <w:rsid w:val="006F0BF7"/>
    <w:pPr>
      <w:tabs>
        <w:tab w:val="clear" w:pos="8640"/>
        <w:tab w:val="left" w:pos="720"/>
        <w:tab w:val="right" w:leader="dot" w:pos="8910"/>
      </w:tabs>
      <w:spacing w:after="160"/>
    </w:pPr>
    <w:rPr>
      <w:noProof/>
    </w:rPr>
  </w:style>
  <w:style w:type="paragraph" w:styleId="TOC1">
    <w:name w:val="toc 1"/>
    <w:basedOn w:val="BodyText"/>
    <w:next w:val="TOC2"/>
    <w:semiHidden/>
    <w:rsid w:val="006F0BF7"/>
    <w:pPr>
      <w:tabs>
        <w:tab w:val="right" w:leader="dot" w:pos="8640"/>
      </w:tabs>
      <w:spacing w:after="0"/>
    </w:pPr>
    <w:rPr>
      <w:b/>
    </w:rPr>
  </w:style>
  <w:style w:type="paragraph" w:styleId="Footer">
    <w:name w:val="footer"/>
    <w:basedOn w:val="Normal"/>
    <w:rsid w:val="006F0BF7"/>
    <w:pPr>
      <w:tabs>
        <w:tab w:val="center" w:pos="4507"/>
        <w:tab w:val="right" w:pos="9000"/>
      </w:tabs>
    </w:pPr>
    <w:rPr>
      <w:rFonts w:ascii="Arial Narrow" w:hAnsi="Arial Narrow"/>
      <w:caps/>
      <w:sz w:val="14"/>
    </w:rPr>
  </w:style>
  <w:style w:type="paragraph" w:styleId="Header">
    <w:name w:val="header"/>
    <w:basedOn w:val="Normal"/>
    <w:rsid w:val="006F0BF7"/>
    <w:pPr>
      <w:pBdr>
        <w:bottom w:val="single" w:sz="6" w:space="1" w:color="auto"/>
      </w:pBdr>
      <w:jc w:val="right"/>
    </w:pPr>
    <w:rPr>
      <w:rFonts w:ascii="Arial Narrow" w:hAnsi="Arial Narrow"/>
      <w:caps/>
      <w:sz w:val="14"/>
    </w:rPr>
  </w:style>
  <w:style w:type="character" w:styleId="FootnoteReference">
    <w:name w:val="footnote reference"/>
    <w:basedOn w:val="DefaultParagraphFont"/>
    <w:uiPriority w:val="99"/>
    <w:rsid w:val="006F0BF7"/>
    <w:rPr>
      <w:rFonts w:ascii="Arial" w:hAnsi="Arial"/>
      <w:spacing w:val="0"/>
      <w:position w:val="6"/>
      <w:sz w:val="16"/>
    </w:rPr>
  </w:style>
  <w:style w:type="paragraph" w:styleId="FootnoteText">
    <w:name w:val="footnote text"/>
    <w:basedOn w:val="BodyText"/>
    <w:link w:val="FootnoteTextChar"/>
    <w:uiPriority w:val="99"/>
    <w:rsid w:val="006F0BF7"/>
    <w:pPr>
      <w:spacing w:after="0"/>
    </w:pPr>
    <w:rPr>
      <w:rFonts w:ascii="Arial" w:hAnsi="Arial"/>
      <w:sz w:val="16"/>
    </w:rPr>
  </w:style>
  <w:style w:type="paragraph" w:styleId="NormalIndent">
    <w:name w:val="Normal Indent"/>
    <w:basedOn w:val="Normal"/>
    <w:rsid w:val="006F0BF7"/>
    <w:pPr>
      <w:ind w:left="360"/>
    </w:pPr>
  </w:style>
  <w:style w:type="paragraph" w:customStyle="1" w:styleId="FirstMemoLine">
    <w:name w:val="First Memo Line"/>
    <w:basedOn w:val="Main-Head"/>
    <w:rsid w:val="006F0BF7"/>
    <w:pPr>
      <w:pBdr>
        <w:bottom w:val="single" w:sz="6" w:space="1" w:color="auto"/>
      </w:pBdr>
      <w:tabs>
        <w:tab w:val="right" w:pos="9000"/>
      </w:tabs>
    </w:pPr>
    <w:rPr>
      <w:spacing w:val="50"/>
      <w:sz w:val="20"/>
    </w:rPr>
  </w:style>
  <w:style w:type="paragraph" w:customStyle="1" w:styleId="CSA">
    <w:name w:val="CSA"/>
    <w:basedOn w:val="BodyText"/>
    <w:next w:val="Heading1"/>
    <w:rsid w:val="006F0BF7"/>
    <w:pPr>
      <w:keepNext/>
      <w:spacing w:after="0"/>
    </w:pPr>
    <w:rPr>
      <w:b/>
      <w:caps/>
      <w:sz w:val="20"/>
    </w:rPr>
  </w:style>
  <w:style w:type="paragraph" w:customStyle="1" w:styleId="MemoSubject">
    <w:name w:val="Memo Subject"/>
    <w:basedOn w:val="Normal"/>
    <w:rsid w:val="006F0BF7"/>
    <w:pPr>
      <w:spacing w:after="240"/>
    </w:pPr>
    <w:rPr>
      <w:b/>
      <w:sz w:val="36"/>
    </w:rPr>
  </w:style>
  <w:style w:type="paragraph" w:customStyle="1" w:styleId="DateSubjProj">
    <w:name w:val="Date/Subj/Proj"/>
    <w:basedOn w:val="BodyText"/>
    <w:rsid w:val="006F0BF7"/>
    <w:pPr>
      <w:spacing w:after="120"/>
    </w:pPr>
  </w:style>
  <w:style w:type="paragraph" w:customStyle="1" w:styleId="Bullet">
    <w:name w:val="Bullet"/>
    <w:aliases w:val="bu"/>
    <w:basedOn w:val="BodyText"/>
    <w:next w:val="BodyText"/>
    <w:rsid w:val="006F0BF7"/>
  </w:style>
  <w:style w:type="paragraph" w:customStyle="1" w:styleId="App-Hdg1">
    <w:name w:val="App-Hdg1"/>
    <w:aliases w:val="A1"/>
    <w:basedOn w:val="BodyText"/>
    <w:next w:val="BodyText"/>
    <w:rsid w:val="006F0BF7"/>
    <w:pPr>
      <w:pBdr>
        <w:bottom w:val="single" w:sz="6" w:space="1" w:color="auto"/>
      </w:pBdr>
      <w:spacing w:after="720"/>
    </w:pPr>
    <w:rPr>
      <w:rFonts w:ascii="Arial Narrow" w:hAnsi="Arial Narrow"/>
      <w:b/>
      <w:sz w:val="48"/>
    </w:rPr>
  </w:style>
  <w:style w:type="paragraph" w:customStyle="1" w:styleId="App-Hdg2">
    <w:name w:val="App-Hdg2"/>
    <w:aliases w:val="A2"/>
    <w:basedOn w:val="BodyText"/>
    <w:next w:val="BodyText"/>
    <w:rsid w:val="006F0BF7"/>
    <w:pPr>
      <w:keepNext/>
      <w:keepLines/>
      <w:spacing w:before="160"/>
    </w:pPr>
    <w:rPr>
      <w:rFonts w:ascii="Arial Narrow" w:hAnsi="Arial Narrow"/>
      <w:b/>
      <w:sz w:val="36"/>
    </w:rPr>
  </w:style>
  <w:style w:type="paragraph" w:customStyle="1" w:styleId="Exhibit--Caption">
    <w:name w:val="Exhibit--Caption"/>
    <w:basedOn w:val="Exhibit--Title"/>
    <w:next w:val="BodyText"/>
    <w:rsid w:val="006F0BF7"/>
    <w:pPr>
      <w:spacing w:after="240"/>
    </w:pPr>
    <w:rPr>
      <w:i/>
    </w:rPr>
  </w:style>
  <w:style w:type="paragraph" w:customStyle="1" w:styleId="Exhibit--Title">
    <w:name w:val="Exhibit--Title"/>
    <w:basedOn w:val="Exhibit--Number"/>
    <w:next w:val="Exhibit--Caption"/>
    <w:rsid w:val="006F0BF7"/>
    <w:pPr>
      <w:spacing w:before="0"/>
    </w:pPr>
    <w:rPr>
      <w:b w:val="0"/>
      <w:caps w:val="0"/>
      <w:sz w:val="20"/>
    </w:rPr>
  </w:style>
  <w:style w:type="paragraph" w:customStyle="1" w:styleId="Exhibit--Number">
    <w:name w:val="Exhibit--Number"/>
    <w:basedOn w:val="Main-Head"/>
    <w:next w:val="Exhibit--Title"/>
    <w:link w:val="Exhibit--NumberChar"/>
    <w:rsid w:val="006F0BF7"/>
    <w:pPr>
      <w:spacing w:before="160"/>
    </w:pPr>
    <w:rPr>
      <w:caps/>
      <w:sz w:val="18"/>
    </w:rPr>
  </w:style>
  <w:style w:type="character" w:customStyle="1" w:styleId="Exhibit--NumberChar">
    <w:name w:val="Exhibit--Number Char"/>
    <w:basedOn w:val="DefaultParagraphFont"/>
    <w:link w:val="Exhibit--Number"/>
    <w:rsid w:val="00E13FD0"/>
    <w:rPr>
      <w:rFonts w:ascii="Arial Narrow" w:hAnsi="Arial Narrow"/>
      <w:b/>
      <w:caps/>
      <w:sz w:val="18"/>
      <w:lang w:val="en-US" w:eastAsia="en-US" w:bidi="ar-SA"/>
    </w:rPr>
  </w:style>
  <w:style w:type="paragraph" w:customStyle="1" w:styleId="App-Hdg3-A3">
    <w:name w:val="App-Hdg3-A3"/>
    <w:basedOn w:val="App-Hdg1"/>
    <w:next w:val="BodyText"/>
    <w:rsid w:val="006F0BF7"/>
    <w:pPr>
      <w:keepNext/>
      <w:keepLines/>
      <w:pBdr>
        <w:bottom w:val="none" w:sz="0" w:space="0" w:color="auto"/>
      </w:pBdr>
      <w:spacing w:before="80" w:after="80"/>
    </w:pPr>
    <w:rPr>
      <w:sz w:val="28"/>
    </w:rPr>
  </w:style>
  <w:style w:type="character" w:styleId="PageNumber">
    <w:name w:val="page number"/>
    <w:basedOn w:val="DefaultParagraphFont"/>
    <w:rsid w:val="006F0BF7"/>
  </w:style>
  <w:style w:type="paragraph" w:customStyle="1" w:styleId="TableBody">
    <w:name w:val="Table Body"/>
    <w:aliases w:val="tb"/>
    <w:basedOn w:val="TableHead"/>
    <w:rsid w:val="006F0BF7"/>
    <w:pPr>
      <w:jc w:val="left"/>
    </w:pPr>
    <w:rPr>
      <w:b w:val="0"/>
    </w:rPr>
  </w:style>
  <w:style w:type="paragraph" w:customStyle="1" w:styleId="TableHead">
    <w:name w:val="Table Head"/>
    <w:aliases w:val="th"/>
    <w:basedOn w:val="Normal"/>
    <w:next w:val="Normal"/>
    <w:rsid w:val="006F0BF7"/>
    <w:pPr>
      <w:spacing w:before="80" w:after="80"/>
      <w:jc w:val="center"/>
    </w:pPr>
    <w:rPr>
      <w:rFonts w:ascii="Arial" w:hAnsi="Arial"/>
      <w:b/>
      <w:sz w:val="18"/>
    </w:rPr>
  </w:style>
  <w:style w:type="paragraph" w:customStyle="1" w:styleId="TableNotes">
    <w:name w:val="Table Notes"/>
    <w:basedOn w:val="TableBody"/>
    <w:rsid w:val="006F0BF7"/>
    <w:pPr>
      <w:spacing w:after="320"/>
    </w:pPr>
  </w:style>
  <w:style w:type="paragraph" w:customStyle="1" w:styleId="Number">
    <w:name w:val="Number"/>
    <w:basedOn w:val="BodyText"/>
    <w:next w:val="BodyText"/>
    <w:rsid w:val="006F0BF7"/>
    <w:pPr>
      <w:spacing w:after="0"/>
      <w:ind w:left="360" w:hanging="360"/>
    </w:pPr>
  </w:style>
  <w:style w:type="paragraph" w:customStyle="1" w:styleId="Tick">
    <w:name w:val="Tick"/>
    <w:basedOn w:val="BodyText"/>
    <w:next w:val="BodyText"/>
    <w:rsid w:val="006F0BF7"/>
    <w:pPr>
      <w:spacing w:after="0"/>
      <w:ind w:left="720" w:hanging="360"/>
    </w:pPr>
  </w:style>
  <w:style w:type="paragraph" w:styleId="Title">
    <w:name w:val="Title"/>
    <w:basedOn w:val="Normal"/>
    <w:qFormat/>
    <w:rsid w:val="006F0BF7"/>
    <w:pPr>
      <w:spacing w:before="240" w:after="60"/>
      <w:jc w:val="center"/>
    </w:pPr>
    <w:rPr>
      <w:rFonts w:ascii="Arial Narrow" w:hAnsi="Arial Narrow"/>
      <w:b/>
      <w:kern w:val="28"/>
      <w:sz w:val="32"/>
    </w:rPr>
  </w:style>
  <w:style w:type="paragraph" w:customStyle="1" w:styleId="toc--entries--appendixexhibit">
    <w:name w:val="toc--entries--appendix/exhibit"/>
    <w:basedOn w:val="Normal"/>
    <w:rsid w:val="006F0BF7"/>
    <w:pPr>
      <w:tabs>
        <w:tab w:val="left" w:pos="576"/>
        <w:tab w:val="right" w:leader="dot" w:pos="9000"/>
      </w:tabs>
      <w:ind w:left="576" w:hanging="576"/>
    </w:pPr>
  </w:style>
  <w:style w:type="paragraph" w:customStyle="1" w:styleId="toc--heads--appendixexhibit">
    <w:name w:val="toc--heads--appendix/exhibit"/>
    <w:basedOn w:val="BodyText"/>
    <w:next w:val="Normal"/>
    <w:rsid w:val="006F0BF7"/>
    <w:pPr>
      <w:tabs>
        <w:tab w:val="right" w:pos="9000"/>
      </w:tabs>
      <w:spacing w:before="240"/>
    </w:pPr>
    <w:rPr>
      <w:b/>
    </w:rPr>
  </w:style>
  <w:style w:type="paragraph" w:customStyle="1" w:styleId="DividerSheet">
    <w:name w:val="DividerSheet"/>
    <w:aliases w:val="ds"/>
    <w:basedOn w:val="BodyText"/>
    <w:next w:val="DividerSheet1"/>
    <w:rsid w:val="006F0BF7"/>
    <w:pPr>
      <w:pageBreakBefore/>
      <w:spacing w:after="0"/>
      <w:jc w:val="right"/>
    </w:pPr>
    <w:rPr>
      <w:b/>
      <w:smallCaps/>
      <w:sz w:val="32"/>
    </w:rPr>
  </w:style>
  <w:style w:type="paragraph" w:customStyle="1" w:styleId="DividerSheet1">
    <w:name w:val="DividerSheet1"/>
    <w:aliases w:val="d1"/>
    <w:basedOn w:val="BodyText"/>
    <w:next w:val="BodyText"/>
    <w:rsid w:val="006F0BF7"/>
    <w:pPr>
      <w:pBdr>
        <w:bottom w:val="single" w:sz="6" w:space="1" w:color="auto"/>
      </w:pBdr>
      <w:spacing w:after="0"/>
      <w:jc w:val="right"/>
    </w:pPr>
    <w:rPr>
      <w:rFonts w:ascii="Arial Narrow" w:hAnsi="Arial Narrow"/>
      <w:b/>
      <w:sz w:val="56"/>
    </w:rPr>
  </w:style>
  <w:style w:type="paragraph" w:customStyle="1" w:styleId="BodyTextLast">
    <w:name w:val="Body Text Last"/>
    <w:aliases w:val="bl"/>
    <w:basedOn w:val="BodyText"/>
    <w:next w:val="Heading3"/>
    <w:rsid w:val="006F0BF7"/>
    <w:pPr>
      <w:overflowPunct w:val="0"/>
      <w:autoSpaceDE w:val="0"/>
      <w:autoSpaceDN w:val="0"/>
      <w:adjustRightInd w:val="0"/>
      <w:spacing w:after="240"/>
      <w:textAlignment w:val="baseline"/>
    </w:pPr>
    <w:rPr>
      <w:rFonts w:ascii="Palatino" w:hAnsi="Palatino"/>
    </w:rPr>
  </w:style>
  <w:style w:type="paragraph" w:styleId="BodyText3">
    <w:name w:val="Body Text 3"/>
    <w:basedOn w:val="Normal"/>
    <w:rsid w:val="006F0BF7"/>
    <w:pPr>
      <w:jc w:val="center"/>
    </w:pPr>
    <w:rPr>
      <w:rFonts w:ascii="Microsoft Sans Serif" w:hAnsi="Microsoft Sans Serif"/>
      <w:snapToGrid w:val="0"/>
      <w:color w:val="000000"/>
      <w:sz w:val="28"/>
    </w:rPr>
  </w:style>
  <w:style w:type="paragraph" w:styleId="DocumentMap">
    <w:name w:val="Document Map"/>
    <w:basedOn w:val="Normal"/>
    <w:semiHidden/>
    <w:rsid w:val="006F0BF7"/>
    <w:pPr>
      <w:shd w:val="clear" w:color="auto" w:fill="000080"/>
    </w:pPr>
    <w:rPr>
      <w:rFonts w:ascii="Tahoma" w:hAnsi="Tahoma"/>
    </w:rPr>
  </w:style>
  <w:style w:type="paragraph" w:styleId="BalloonText">
    <w:name w:val="Balloon Text"/>
    <w:basedOn w:val="Normal"/>
    <w:semiHidden/>
    <w:rsid w:val="00E13FD0"/>
    <w:rPr>
      <w:rFonts w:ascii="Tahoma" w:hAnsi="Tahoma" w:cs="Tahoma"/>
      <w:sz w:val="16"/>
      <w:szCs w:val="16"/>
    </w:rPr>
  </w:style>
  <w:style w:type="paragraph" w:styleId="CommentSubject">
    <w:name w:val="annotation subject"/>
    <w:basedOn w:val="CommentText"/>
    <w:next w:val="CommentText"/>
    <w:link w:val="CommentSubjectChar"/>
    <w:rsid w:val="000221A8"/>
    <w:pPr>
      <w:spacing w:before="0"/>
    </w:pPr>
    <w:rPr>
      <w:rFonts w:ascii="Book Antiqua" w:hAnsi="Book Antiqua"/>
      <w:b/>
      <w:bCs/>
    </w:rPr>
  </w:style>
  <w:style w:type="character" w:customStyle="1" w:styleId="CommentTextChar">
    <w:name w:val="Comment Text Char"/>
    <w:basedOn w:val="DefaultParagraphFont"/>
    <w:link w:val="CommentText"/>
    <w:semiHidden/>
    <w:rsid w:val="000221A8"/>
    <w:rPr>
      <w:rFonts w:ascii="Arial" w:hAnsi="Arial"/>
    </w:rPr>
  </w:style>
  <w:style w:type="character" w:customStyle="1" w:styleId="CommentSubjectChar">
    <w:name w:val="Comment Subject Char"/>
    <w:basedOn w:val="CommentTextChar"/>
    <w:link w:val="CommentSubject"/>
    <w:rsid w:val="000221A8"/>
    <w:rPr>
      <w:rFonts w:ascii="Arial" w:hAnsi="Arial"/>
    </w:rPr>
  </w:style>
  <w:style w:type="paragraph" w:styleId="Revision">
    <w:name w:val="Revision"/>
    <w:hidden/>
    <w:rsid w:val="00753B88"/>
    <w:rPr>
      <w:rFonts w:ascii="Book Antiqua" w:hAnsi="Book Antiqua"/>
      <w:sz w:val="22"/>
    </w:rPr>
  </w:style>
  <w:style w:type="paragraph" w:styleId="Subtitle">
    <w:name w:val="Subtitle"/>
    <w:basedOn w:val="Normal"/>
    <w:link w:val="SubtitleChar"/>
    <w:qFormat/>
    <w:rsid w:val="00180591"/>
    <w:pPr>
      <w:jc w:val="center"/>
    </w:pPr>
    <w:rPr>
      <w:rFonts w:ascii="Times New Roman" w:hAnsi="Times New Roman"/>
      <w:sz w:val="40"/>
      <w:szCs w:val="24"/>
    </w:rPr>
  </w:style>
  <w:style w:type="character" w:customStyle="1" w:styleId="SubtitleChar">
    <w:name w:val="Subtitle Char"/>
    <w:basedOn w:val="DefaultParagraphFont"/>
    <w:link w:val="Subtitle"/>
    <w:rsid w:val="00180591"/>
    <w:rPr>
      <w:sz w:val="40"/>
      <w:szCs w:val="24"/>
    </w:rPr>
  </w:style>
  <w:style w:type="character" w:customStyle="1" w:styleId="FootnoteTextChar">
    <w:name w:val="Footnote Text Char"/>
    <w:link w:val="FootnoteText"/>
    <w:uiPriority w:val="99"/>
    <w:locked/>
    <w:rsid w:val="00820DA8"/>
    <w:rPr>
      <w:rFonts w:ascii="Arial" w:hAnsi="Arial"/>
      <w:sz w:val="16"/>
    </w:rPr>
  </w:style>
  <w:style w:type="character" w:customStyle="1" w:styleId="BodyTextChar">
    <w:name w:val="Body Text Char"/>
    <w:aliases w:val="bt Char,BT Char1,Durham Body Text Char1,Test Char1,o Char1,Example Char1,Outline-1 Char1,Body text Char1,bt1 Char1,bt2 Char1,vv Char1,SD-body Char1,Body Char,Todd Text Char,b Char,bt3 Char,Body Text Char1 Char,BT Char Char,vv Char Char"/>
    <w:link w:val="BodyText"/>
    <w:locked/>
    <w:rsid w:val="00DE6E66"/>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888">
      <w:bodyDiv w:val="1"/>
      <w:marLeft w:val="0"/>
      <w:marRight w:val="0"/>
      <w:marTop w:val="0"/>
      <w:marBottom w:val="0"/>
      <w:divBdr>
        <w:top w:val="none" w:sz="0" w:space="0" w:color="auto"/>
        <w:left w:val="none" w:sz="0" w:space="0" w:color="auto"/>
        <w:bottom w:val="none" w:sz="0" w:space="0" w:color="auto"/>
        <w:right w:val="none" w:sz="0" w:space="0" w:color="auto"/>
      </w:divBdr>
    </w:div>
    <w:div w:id="15814131">
      <w:bodyDiv w:val="1"/>
      <w:marLeft w:val="0"/>
      <w:marRight w:val="0"/>
      <w:marTop w:val="0"/>
      <w:marBottom w:val="0"/>
      <w:divBdr>
        <w:top w:val="none" w:sz="0" w:space="0" w:color="auto"/>
        <w:left w:val="none" w:sz="0" w:space="0" w:color="auto"/>
        <w:bottom w:val="none" w:sz="0" w:space="0" w:color="auto"/>
        <w:right w:val="none" w:sz="0" w:space="0" w:color="auto"/>
      </w:divBdr>
    </w:div>
    <w:div w:id="92096161">
      <w:bodyDiv w:val="1"/>
      <w:marLeft w:val="0"/>
      <w:marRight w:val="0"/>
      <w:marTop w:val="0"/>
      <w:marBottom w:val="0"/>
      <w:divBdr>
        <w:top w:val="none" w:sz="0" w:space="0" w:color="auto"/>
        <w:left w:val="none" w:sz="0" w:space="0" w:color="auto"/>
        <w:bottom w:val="none" w:sz="0" w:space="0" w:color="auto"/>
        <w:right w:val="none" w:sz="0" w:space="0" w:color="auto"/>
      </w:divBdr>
    </w:div>
    <w:div w:id="127865777">
      <w:bodyDiv w:val="1"/>
      <w:marLeft w:val="0"/>
      <w:marRight w:val="0"/>
      <w:marTop w:val="0"/>
      <w:marBottom w:val="0"/>
      <w:divBdr>
        <w:top w:val="none" w:sz="0" w:space="0" w:color="auto"/>
        <w:left w:val="none" w:sz="0" w:space="0" w:color="auto"/>
        <w:bottom w:val="none" w:sz="0" w:space="0" w:color="auto"/>
        <w:right w:val="none" w:sz="0" w:space="0" w:color="auto"/>
      </w:divBdr>
    </w:div>
    <w:div w:id="160246349">
      <w:bodyDiv w:val="1"/>
      <w:marLeft w:val="0"/>
      <w:marRight w:val="0"/>
      <w:marTop w:val="0"/>
      <w:marBottom w:val="0"/>
      <w:divBdr>
        <w:top w:val="none" w:sz="0" w:space="0" w:color="auto"/>
        <w:left w:val="none" w:sz="0" w:space="0" w:color="auto"/>
        <w:bottom w:val="none" w:sz="0" w:space="0" w:color="auto"/>
        <w:right w:val="none" w:sz="0" w:space="0" w:color="auto"/>
      </w:divBdr>
    </w:div>
    <w:div w:id="172454099">
      <w:bodyDiv w:val="1"/>
      <w:marLeft w:val="0"/>
      <w:marRight w:val="0"/>
      <w:marTop w:val="0"/>
      <w:marBottom w:val="0"/>
      <w:divBdr>
        <w:top w:val="none" w:sz="0" w:space="0" w:color="auto"/>
        <w:left w:val="none" w:sz="0" w:space="0" w:color="auto"/>
        <w:bottom w:val="none" w:sz="0" w:space="0" w:color="auto"/>
        <w:right w:val="none" w:sz="0" w:space="0" w:color="auto"/>
      </w:divBdr>
    </w:div>
    <w:div w:id="227570223">
      <w:bodyDiv w:val="1"/>
      <w:marLeft w:val="0"/>
      <w:marRight w:val="0"/>
      <w:marTop w:val="0"/>
      <w:marBottom w:val="0"/>
      <w:divBdr>
        <w:top w:val="none" w:sz="0" w:space="0" w:color="auto"/>
        <w:left w:val="none" w:sz="0" w:space="0" w:color="auto"/>
        <w:bottom w:val="none" w:sz="0" w:space="0" w:color="auto"/>
        <w:right w:val="none" w:sz="0" w:space="0" w:color="auto"/>
      </w:divBdr>
    </w:div>
    <w:div w:id="267812218">
      <w:bodyDiv w:val="1"/>
      <w:marLeft w:val="0"/>
      <w:marRight w:val="0"/>
      <w:marTop w:val="0"/>
      <w:marBottom w:val="0"/>
      <w:divBdr>
        <w:top w:val="none" w:sz="0" w:space="0" w:color="auto"/>
        <w:left w:val="none" w:sz="0" w:space="0" w:color="auto"/>
        <w:bottom w:val="none" w:sz="0" w:space="0" w:color="auto"/>
        <w:right w:val="none" w:sz="0" w:space="0" w:color="auto"/>
      </w:divBdr>
    </w:div>
    <w:div w:id="332224021">
      <w:bodyDiv w:val="1"/>
      <w:marLeft w:val="0"/>
      <w:marRight w:val="0"/>
      <w:marTop w:val="0"/>
      <w:marBottom w:val="0"/>
      <w:divBdr>
        <w:top w:val="none" w:sz="0" w:space="0" w:color="auto"/>
        <w:left w:val="none" w:sz="0" w:space="0" w:color="auto"/>
        <w:bottom w:val="none" w:sz="0" w:space="0" w:color="auto"/>
        <w:right w:val="none" w:sz="0" w:space="0" w:color="auto"/>
      </w:divBdr>
    </w:div>
    <w:div w:id="347489830">
      <w:bodyDiv w:val="1"/>
      <w:marLeft w:val="0"/>
      <w:marRight w:val="0"/>
      <w:marTop w:val="0"/>
      <w:marBottom w:val="0"/>
      <w:divBdr>
        <w:top w:val="none" w:sz="0" w:space="0" w:color="auto"/>
        <w:left w:val="none" w:sz="0" w:space="0" w:color="auto"/>
        <w:bottom w:val="none" w:sz="0" w:space="0" w:color="auto"/>
        <w:right w:val="none" w:sz="0" w:space="0" w:color="auto"/>
      </w:divBdr>
    </w:div>
    <w:div w:id="366100214">
      <w:bodyDiv w:val="1"/>
      <w:marLeft w:val="0"/>
      <w:marRight w:val="0"/>
      <w:marTop w:val="0"/>
      <w:marBottom w:val="0"/>
      <w:divBdr>
        <w:top w:val="none" w:sz="0" w:space="0" w:color="auto"/>
        <w:left w:val="none" w:sz="0" w:space="0" w:color="auto"/>
        <w:bottom w:val="none" w:sz="0" w:space="0" w:color="auto"/>
        <w:right w:val="none" w:sz="0" w:space="0" w:color="auto"/>
      </w:divBdr>
    </w:div>
    <w:div w:id="499278773">
      <w:bodyDiv w:val="1"/>
      <w:marLeft w:val="0"/>
      <w:marRight w:val="0"/>
      <w:marTop w:val="0"/>
      <w:marBottom w:val="0"/>
      <w:divBdr>
        <w:top w:val="none" w:sz="0" w:space="0" w:color="auto"/>
        <w:left w:val="none" w:sz="0" w:space="0" w:color="auto"/>
        <w:bottom w:val="none" w:sz="0" w:space="0" w:color="auto"/>
        <w:right w:val="none" w:sz="0" w:space="0" w:color="auto"/>
      </w:divBdr>
    </w:div>
    <w:div w:id="505248330">
      <w:bodyDiv w:val="1"/>
      <w:marLeft w:val="0"/>
      <w:marRight w:val="0"/>
      <w:marTop w:val="0"/>
      <w:marBottom w:val="0"/>
      <w:divBdr>
        <w:top w:val="none" w:sz="0" w:space="0" w:color="auto"/>
        <w:left w:val="none" w:sz="0" w:space="0" w:color="auto"/>
        <w:bottom w:val="none" w:sz="0" w:space="0" w:color="auto"/>
        <w:right w:val="none" w:sz="0" w:space="0" w:color="auto"/>
      </w:divBdr>
    </w:div>
    <w:div w:id="698236031">
      <w:bodyDiv w:val="1"/>
      <w:marLeft w:val="0"/>
      <w:marRight w:val="0"/>
      <w:marTop w:val="0"/>
      <w:marBottom w:val="0"/>
      <w:divBdr>
        <w:top w:val="none" w:sz="0" w:space="0" w:color="auto"/>
        <w:left w:val="none" w:sz="0" w:space="0" w:color="auto"/>
        <w:bottom w:val="none" w:sz="0" w:space="0" w:color="auto"/>
        <w:right w:val="none" w:sz="0" w:space="0" w:color="auto"/>
      </w:divBdr>
    </w:div>
    <w:div w:id="735667390">
      <w:bodyDiv w:val="1"/>
      <w:marLeft w:val="0"/>
      <w:marRight w:val="0"/>
      <w:marTop w:val="0"/>
      <w:marBottom w:val="0"/>
      <w:divBdr>
        <w:top w:val="none" w:sz="0" w:space="0" w:color="auto"/>
        <w:left w:val="none" w:sz="0" w:space="0" w:color="auto"/>
        <w:bottom w:val="none" w:sz="0" w:space="0" w:color="auto"/>
        <w:right w:val="none" w:sz="0" w:space="0" w:color="auto"/>
      </w:divBdr>
    </w:div>
    <w:div w:id="749040025">
      <w:bodyDiv w:val="1"/>
      <w:marLeft w:val="0"/>
      <w:marRight w:val="0"/>
      <w:marTop w:val="0"/>
      <w:marBottom w:val="0"/>
      <w:divBdr>
        <w:top w:val="none" w:sz="0" w:space="0" w:color="auto"/>
        <w:left w:val="none" w:sz="0" w:space="0" w:color="auto"/>
        <w:bottom w:val="none" w:sz="0" w:space="0" w:color="auto"/>
        <w:right w:val="none" w:sz="0" w:space="0" w:color="auto"/>
      </w:divBdr>
    </w:div>
    <w:div w:id="870335577">
      <w:bodyDiv w:val="1"/>
      <w:marLeft w:val="0"/>
      <w:marRight w:val="0"/>
      <w:marTop w:val="0"/>
      <w:marBottom w:val="0"/>
      <w:divBdr>
        <w:top w:val="none" w:sz="0" w:space="0" w:color="auto"/>
        <w:left w:val="none" w:sz="0" w:space="0" w:color="auto"/>
        <w:bottom w:val="none" w:sz="0" w:space="0" w:color="auto"/>
        <w:right w:val="none" w:sz="0" w:space="0" w:color="auto"/>
      </w:divBdr>
    </w:div>
    <w:div w:id="1086539919">
      <w:bodyDiv w:val="1"/>
      <w:marLeft w:val="0"/>
      <w:marRight w:val="0"/>
      <w:marTop w:val="0"/>
      <w:marBottom w:val="0"/>
      <w:divBdr>
        <w:top w:val="none" w:sz="0" w:space="0" w:color="auto"/>
        <w:left w:val="none" w:sz="0" w:space="0" w:color="auto"/>
        <w:bottom w:val="none" w:sz="0" w:space="0" w:color="auto"/>
        <w:right w:val="none" w:sz="0" w:space="0" w:color="auto"/>
      </w:divBdr>
    </w:div>
    <w:div w:id="1167674391">
      <w:bodyDiv w:val="1"/>
      <w:marLeft w:val="0"/>
      <w:marRight w:val="0"/>
      <w:marTop w:val="0"/>
      <w:marBottom w:val="0"/>
      <w:divBdr>
        <w:top w:val="none" w:sz="0" w:space="0" w:color="auto"/>
        <w:left w:val="none" w:sz="0" w:space="0" w:color="auto"/>
        <w:bottom w:val="none" w:sz="0" w:space="0" w:color="auto"/>
        <w:right w:val="none" w:sz="0" w:space="0" w:color="auto"/>
      </w:divBdr>
    </w:div>
    <w:div w:id="1393894447">
      <w:bodyDiv w:val="1"/>
      <w:marLeft w:val="0"/>
      <w:marRight w:val="0"/>
      <w:marTop w:val="0"/>
      <w:marBottom w:val="0"/>
      <w:divBdr>
        <w:top w:val="none" w:sz="0" w:space="0" w:color="auto"/>
        <w:left w:val="none" w:sz="0" w:space="0" w:color="auto"/>
        <w:bottom w:val="none" w:sz="0" w:space="0" w:color="auto"/>
        <w:right w:val="none" w:sz="0" w:space="0" w:color="auto"/>
      </w:divBdr>
    </w:div>
    <w:div w:id="1412315876">
      <w:bodyDiv w:val="1"/>
      <w:marLeft w:val="0"/>
      <w:marRight w:val="0"/>
      <w:marTop w:val="0"/>
      <w:marBottom w:val="0"/>
      <w:divBdr>
        <w:top w:val="none" w:sz="0" w:space="0" w:color="auto"/>
        <w:left w:val="none" w:sz="0" w:space="0" w:color="auto"/>
        <w:bottom w:val="none" w:sz="0" w:space="0" w:color="auto"/>
        <w:right w:val="none" w:sz="0" w:space="0" w:color="auto"/>
      </w:divBdr>
    </w:div>
    <w:div w:id="1428842872">
      <w:bodyDiv w:val="1"/>
      <w:marLeft w:val="0"/>
      <w:marRight w:val="0"/>
      <w:marTop w:val="0"/>
      <w:marBottom w:val="0"/>
      <w:divBdr>
        <w:top w:val="none" w:sz="0" w:space="0" w:color="auto"/>
        <w:left w:val="none" w:sz="0" w:space="0" w:color="auto"/>
        <w:bottom w:val="none" w:sz="0" w:space="0" w:color="auto"/>
        <w:right w:val="none" w:sz="0" w:space="0" w:color="auto"/>
      </w:divBdr>
    </w:div>
    <w:div w:id="1452095157">
      <w:bodyDiv w:val="1"/>
      <w:marLeft w:val="0"/>
      <w:marRight w:val="0"/>
      <w:marTop w:val="0"/>
      <w:marBottom w:val="0"/>
      <w:divBdr>
        <w:top w:val="none" w:sz="0" w:space="0" w:color="auto"/>
        <w:left w:val="none" w:sz="0" w:space="0" w:color="auto"/>
        <w:bottom w:val="none" w:sz="0" w:space="0" w:color="auto"/>
        <w:right w:val="none" w:sz="0" w:space="0" w:color="auto"/>
      </w:divBdr>
    </w:div>
    <w:div w:id="1498184016">
      <w:bodyDiv w:val="1"/>
      <w:marLeft w:val="0"/>
      <w:marRight w:val="0"/>
      <w:marTop w:val="0"/>
      <w:marBottom w:val="0"/>
      <w:divBdr>
        <w:top w:val="none" w:sz="0" w:space="0" w:color="auto"/>
        <w:left w:val="none" w:sz="0" w:space="0" w:color="auto"/>
        <w:bottom w:val="none" w:sz="0" w:space="0" w:color="auto"/>
        <w:right w:val="none" w:sz="0" w:space="0" w:color="auto"/>
      </w:divBdr>
    </w:div>
    <w:div w:id="1601404419">
      <w:bodyDiv w:val="1"/>
      <w:marLeft w:val="0"/>
      <w:marRight w:val="0"/>
      <w:marTop w:val="0"/>
      <w:marBottom w:val="0"/>
      <w:divBdr>
        <w:top w:val="none" w:sz="0" w:space="0" w:color="auto"/>
        <w:left w:val="none" w:sz="0" w:space="0" w:color="auto"/>
        <w:bottom w:val="none" w:sz="0" w:space="0" w:color="auto"/>
        <w:right w:val="none" w:sz="0" w:space="0" w:color="auto"/>
      </w:divBdr>
    </w:div>
    <w:div w:id="1604411478">
      <w:bodyDiv w:val="1"/>
      <w:marLeft w:val="0"/>
      <w:marRight w:val="0"/>
      <w:marTop w:val="0"/>
      <w:marBottom w:val="0"/>
      <w:divBdr>
        <w:top w:val="none" w:sz="0" w:space="0" w:color="auto"/>
        <w:left w:val="none" w:sz="0" w:space="0" w:color="auto"/>
        <w:bottom w:val="none" w:sz="0" w:space="0" w:color="auto"/>
        <w:right w:val="none" w:sz="0" w:space="0" w:color="auto"/>
      </w:divBdr>
    </w:div>
    <w:div w:id="1623490347">
      <w:bodyDiv w:val="1"/>
      <w:marLeft w:val="0"/>
      <w:marRight w:val="0"/>
      <w:marTop w:val="0"/>
      <w:marBottom w:val="0"/>
      <w:divBdr>
        <w:top w:val="none" w:sz="0" w:space="0" w:color="auto"/>
        <w:left w:val="none" w:sz="0" w:space="0" w:color="auto"/>
        <w:bottom w:val="none" w:sz="0" w:space="0" w:color="auto"/>
        <w:right w:val="none" w:sz="0" w:space="0" w:color="auto"/>
      </w:divBdr>
    </w:div>
    <w:div w:id="1778061040">
      <w:bodyDiv w:val="1"/>
      <w:marLeft w:val="0"/>
      <w:marRight w:val="0"/>
      <w:marTop w:val="0"/>
      <w:marBottom w:val="0"/>
      <w:divBdr>
        <w:top w:val="none" w:sz="0" w:space="0" w:color="auto"/>
        <w:left w:val="none" w:sz="0" w:space="0" w:color="auto"/>
        <w:bottom w:val="none" w:sz="0" w:space="0" w:color="auto"/>
        <w:right w:val="none" w:sz="0" w:space="0" w:color="auto"/>
      </w:divBdr>
    </w:div>
    <w:div w:id="1901817771">
      <w:bodyDiv w:val="1"/>
      <w:marLeft w:val="0"/>
      <w:marRight w:val="0"/>
      <w:marTop w:val="0"/>
      <w:marBottom w:val="0"/>
      <w:divBdr>
        <w:top w:val="none" w:sz="0" w:space="0" w:color="auto"/>
        <w:left w:val="none" w:sz="0" w:space="0" w:color="auto"/>
        <w:bottom w:val="none" w:sz="0" w:space="0" w:color="auto"/>
        <w:right w:val="none" w:sz="0" w:space="0" w:color="auto"/>
      </w:divBdr>
    </w:div>
    <w:div w:id="1914923818">
      <w:bodyDiv w:val="1"/>
      <w:marLeft w:val="0"/>
      <w:marRight w:val="0"/>
      <w:marTop w:val="0"/>
      <w:marBottom w:val="0"/>
      <w:divBdr>
        <w:top w:val="none" w:sz="0" w:space="0" w:color="auto"/>
        <w:left w:val="none" w:sz="0" w:space="0" w:color="auto"/>
        <w:bottom w:val="none" w:sz="0" w:space="0" w:color="auto"/>
        <w:right w:val="none" w:sz="0" w:space="0" w:color="auto"/>
      </w:divBdr>
    </w:div>
    <w:div w:id="2059938049">
      <w:bodyDiv w:val="1"/>
      <w:marLeft w:val="0"/>
      <w:marRight w:val="0"/>
      <w:marTop w:val="0"/>
      <w:marBottom w:val="0"/>
      <w:divBdr>
        <w:top w:val="none" w:sz="0" w:space="0" w:color="auto"/>
        <w:left w:val="none" w:sz="0" w:space="0" w:color="auto"/>
        <w:bottom w:val="none" w:sz="0" w:space="0" w:color="auto"/>
        <w:right w:val="none" w:sz="0" w:space="0" w:color="auto"/>
      </w:divBdr>
    </w:div>
    <w:div w:id="2115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H2M%20HILL%20Documents\Memo,%20Techn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219-B202-4C0B-A8C7-BF6832C1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Technical.dot</Template>
  <TotalTime>28</TotalTime>
  <Pages>9</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Galardi</dc:creator>
  <cp:lastModifiedBy>Deb Galardi</cp:lastModifiedBy>
  <cp:revision>5</cp:revision>
  <cp:lastPrinted>2010-04-08T02:09:00Z</cp:lastPrinted>
  <dcterms:created xsi:type="dcterms:W3CDTF">2020-03-25T19:39:00Z</dcterms:created>
  <dcterms:modified xsi:type="dcterms:W3CDTF">2020-03-25T20:07:00Z</dcterms:modified>
</cp:coreProperties>
</file>